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668"/>
        <w:gridCol w:w="2292"/>
        <w:gridCol w:w="1671"/>
        <w:gridCol w:w="1325"/>
        <w:gridCol w:w="2676"/>
      </w:tblGrid>
      <w:tr w:rsidR="006A701A" w:rsidRPr="008B4FE6" w14:paraId="25368DA3" w14:textId="77777777" w:rsidTr="00DA7A68">
        <w:trPr>
          <w:trHeight w:val="1611"/>
        </w:trPr>
        <w:tc>
          <w:tcPr>
            <w:tcW w:w="6631" w:type="dxa"/>
            <w:gridSpan w:val="3"/>
          </w:tcPr>
          <w:p w14:paraId="3E4122F9" w14:textId="77777777" w:rsidR="006A701A" w:rsidRPr="008B4FE6" w:rsidRDefault="006A701A" w:rsidP="009027F8">
            <w:pPr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3E77708" w14:textId="77777777" w:rsidR="00205FC4" w:rsidRDefault="00205FC4" w:rsidP="009027F8">
            <w:pPr>
              <w:rPr>
                <w:rFonts w:ascii="Times New Roman" w:hAnsi="Times New Roman"/>
                <w:b/>
                <w:color w:val="000000"/>
              </w:rPr>
            </w:pPr>
            <w:r w:rsidRPr="00B95CEF">
              <w:rPr>
                <w:rFonts w:ascii="Times New Roman" w:hAnsi="Times New Roman"/>
                <w:color w:val="000000"/>
              </w:rPr>
              <w:t>Projekt uchwały Rady Ministrów</w:t>
            </w:r>
            <w:r>
              <w:rPr>
                <w:rFonts w:ascii="Times New Roman" w:hAnsi="Times New Roman"/>
                <w:color w:val="000000"/>
              </w:rPr>
              <w:t xml:space="preserve"> w sprawie ustanowienia Programu </w:t>
            </w:r>
            <w:r w:rsidRPr="00FC1AD3">
              <w:rPr>
                <w:rFonts w:ascii="Times New Roman" w:hAnsi="Times New Roman"/>
                <w:color w:val="000000"/>
              </w:rPr>
              <w:t>Rozwoju Organizacji Obywatelskich na lata 2018-2030 PROO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1CE602C" w14:textId="77777777" w:rsidR="00205FC4" w:rsidRDefault="00205FC4" w:rsidP="009027F8">
            <w:pPr>
              <w:rPr>
                <w:rFonts w:ascii="Times New Roman" w:hAnsi="Times New Roman"/>
                <w:b/>
                <w:color w:val="000000"/>
              </w:rPr>
            </w:pPr>
          </w:p>
          <w:p w14:paraId="254C51E6" w14:textId="77777777" w:rsidR="006A701A" w:rsidRPr="008B4FE6" w:rsidRDefault="006A701A" w:rsidP="009027F8">
            <w:pPr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BEEBD31" w14:textId="77777777" w:rsidR="006A701A" w:rsidRDefault="00205FC4" w:rsidP="009027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Kancelaria Prezesa Rady Ministrów</w:t>
            </w:r>
          </w:p>
          <w:p w14:paraId="10DCFC70" w14:textId="77777777" w:rsidR="00205FC4" w:rsidRDefault="00205FC4" w:rsidP="009027F8">
            <w:pPr>
              <w:rPr>
                <w:rFonts w:ascii="Times New Roman" w:hAnsi="Times New Roman"/>
                <w:color w:val="000000"/>
              </w:rPr>
            </w:pPr>
          </w:p>
          <w:p w14:paraId="08CCFD14" w14:textId="77777777" w:rsidR="001B3460" w:rsidRDefault="001B3460" w:rsidP="009027F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3B159812" w14:textId="77777777" w:rsidR="00205FC4" w:rsidRDefault="00205FC4" w:rsidP="00902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Prof. Piotr Gliński, Wiceprezes Rady Ministrów, Przewodniczący </w:t>
            </w:r>
            <w:r w:rsidRPr="00205FC4">
              <w:rPr>
                <w:rFonts w:ascii="Times New Roman" w:hAnsi="Times New Roman"/>
                <w:sz w:val="21"/>
                <w:szCs w:val="21"/>
              </w:rPr>
              <w:t>Komitet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205FC4">
              <w:rPr>
                <w:rFonts w:ascii="Times New Roman" w:hAnsi="Times New Roman"/>
                <w:sz w:val="21"/>
                <w:szCs w:val="21"/>
              </w:rPr>
              <w:t xml:space="preserve"> do spraw Pożytku Publicznego</w:t>
            </w:r>
          </w:p>
          <w:p w14:paraId="4677C008" w14:textId="77777777" w:rsidR="00205FC4" w:rsidRPr="00642825" w:rsidRDefault="00205FC4" w:rsidP="009027F8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B0ED668" w14:textId="77777777" w:rsidR="006A701A" w:rsidRPr="008B4FE6" w:rsidRDefault="006A701A" w:rsidP="009027F8">
            <w:pPr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3445C61" w14:textId="77777777" w:rsidR="00205FC4" w:rsidRPr="009C3051" w:rsidRDefault="00EE7BF2" w:rsidP="009027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</w:t>
            </w:r>
            <w:r w:rsidR="00AE5E26">
              <w:rPr>
                <w:rFonts w:ascii="Times New Roman" w:hAnsi="Times New Roman"/>
                <w:color w:val="000000"/>
              </w:rPr>
              <w:t xml:space="preserve">Wojciech Kaczmarczyk, </w:t>
            </w:r>
            <w:r w:rsidR="00205FC4" w:rsidRPr="00205FC4">
              <w:rPr>
                <w:rFonts w:ascii="Times New Roman" w:hAnsi="Times New Roman"/>
                <w:sz w:val="21"/>
                <w:szCs w:val="21"/>
              </w:rPr>
              <w:t>Sekretarz Komitet</w:t>
            </w:r>
            <w:r w:rsidR="00205FC4">
              <w:rPr>
                <w:rFonts w:ascii="Times New Roman" w:hAnsi="Times New Roman"/>
                <w:sz w:val="21"/>
                <w:szCs w:val="21"/>
              </w:rPr>
              <w:t>u</w:t>
            </w:r>
            <w:r w:rsidR="00205FC4" w:rsidRPr="00205FC4">
              <w:rPr>
                <w:rFonts w:ascii="Times New Roman" w:hAnsi="Times New Roman"/>
                <w:sz w:val="21"/>
                <w:szCs w:val="21"/>
              </w:rPr>
              <w:t xml:space="preserve"> do spraw Pożytku Publicznego</w:t>
            </w:r>
            <w:r w:rsidR="00205FC4" w:rsidRPr="009C305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098ADCE" w14:textId="77777777" w:rsidR="00205FC4" w:rsidRPr="007649E6" w:rsidRDefault="00205FC4" w:rsidP="009027F8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7649E6">
              <w:rPr>
                <w:rFonts w:ascii="Times New Roman" w:hAnsi="Times New Roman"/>
                <w:color w:val="000000"/>
                <w:lang w:val="en-US"/>
              </w:rPr>
              <w:t xml:space="preserve">email: </w:t>
            </w:r>
            <w:hyperlink r:id="rId7" w:history="1">
              <w:r w:rsidRPr="007649E6">
                <w:rPr>
                  <w:rStyle w:val="Hipercze"/>
                  <w:rFonts w:ascii="Times New Roman" w:hAnsi="Times New Roman"/>
                  <w:lang w:val="en-US"/>
                </w:rPr>
                <w:t>Wojciech.Kaczmarczyk@kprm.gov.pl</w:t>
              </w:r>
            </w:hyperlink>
            <w:r w:rsidRPr="007649E6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14:paraId="2C50BD5D" w14:textId="77777777" w:rsidR="006A701A" w:rsidRPr="00205FC4" w:rsidRDefault="00205FC4" w:rsidP="009027F8">
            <w:pPr>
              <w:rPr>
                <w:rFonts w:ascii="Times New Roman" w:hAnsi="Times New Roman"/>
                <w:sz w:val="21"/>
                <w:szCs w:val="21"/>
              </w:rPr>
            </w:pPr>
            <w:r w:rsidRPr="007649E6">
              <w:rPr>
                <w:rFonts w:ascii="Times New Roman" w:hAnsi="Times New Roman"/>
                <w:color w:val="000000"/>
              </w:rPr>
              <w:t xml:space="preserve">tel. </w:t>
            </w:r>
            <w:r>
              <w:rPr>
                <w:rFonts w:ascii="Times New Roman" w:hAnsi="Times New Roman"/>
                <w:color w:val="000000"/>
              </w:rPr>
              <w:t>22 694 75 29</w:t>
            </w:r>
          </w:p>
        </w:tc>
        <w:tc>
          <w:tcPr>
            <w:tcW w:w="4001" w:type="dxa"/>
            <w:gridSpan w:val="2"/>
            <w:shd w:val="clear" w:color="auto" w:fill="FFFFFF"/>
          </w:tcPr>
          <w:p w14:paraId="307D5734" w14:textId="77777777" w:rsidR="001B3460" w:rsidRPr="00642825" w:rsidRDefault="001B3460" w:rsidP="009027F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05FC4">
              <w:rPr>
                <w:rFonts w:ascii="Times New Roman" w:hAnsi="Times New Roman"/>
                <w:sz w:val="21"/>
                <w:szCs w:val="21"/>
              </w:rPr>
              <w:t>29.05.2018 r.</w:t>
            </w:r>
          </w:p>
          <w:p w14:paraId="53872521" w14:textId="77777777" w:rsidR="00F76884" w:rsidRDefault="00F76884" w:rsidP="009027F8">
            <w:pPr>
              <w:rPr>
                <w:rFonts w:ascii="Times New Roman" w:hAnsi="Times New Roman"/>
                <w:b/>
              </w:rPr>
            </w:pPr>
          </w:p>
          <w:p w14:paraId="02A84885" w14:textId="77777777" w:rsidR="00F76884" w:rsidRPr="0065019F" w:rsidRDefault="00F76884" w:rsidP="009027F8">
            <w:pPr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CF2CE84" w14:textId="54BC291D" w:rsidR="00205FC4" w:rsidRDefault="00205FC4" w:rsidP="00902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23 ust. 2 ustawy z dnia </w:t>
            </w:r>
            <w:r w:rsidRPr="0030503F">
              <w:rPr>
                <w:rFonts w:ascii="Times New Roman" w:hAnsi="Times New Roman"/>
              </w:rPr>
              <w:t>z dnia 15 września 2017 r</w:t>
            </w:r>
            <w:r>
              <w:rPr>
                <w:rFonts w:ascii="Times New Roman" w:hAnsi="Times New Roman"/>
              </w:rPr>
              <w:t xml:space="preserve"> o Narodowym Instytucie Wolności – Centrum Rozwoju Społecz</w:t>
            </w:r>
            <w:r w:rsidR="00AA6B28">
              <w:rPr>
                <w:rFonts w:ascii="Times New Roman" w:hAnsi="Times New Roman"/>
              </w:rPr>
              <w:t>eństwa Obywatelskiego (Dz. U. z </w:t>
            </w:r>
            <w:r>
              <w:rPr>
                <w:rFonts w:ascii="Times New Roman" w:hAnsi="Times New Roman"/>
              </w:rPr>
              <w:t>2017 r. poz. 1909 i 2371)</w:t>
            </w:r>
          </w:p>
          <w:p w14:paraId="59E95A46" w14:textId="77777777" w:rsidR="00205FC4" w:rsidRPr="0065019F" w:rsidRDefault="00205FC4" w:rsidP="009027F8">
            <w:pPr>
              <w:rPr>
                <w:rFonts w:ascii="Times New Roman" w:hAnsi="Times New Roman"/>
              </w:rPr>
            </w:pPr>
          </w:p>
          <w:p w14:paraId="5AD7D5EB" w14:textId="6AD291D8" w:rsidR="00F3426E" w:rsidRPr="00F3426E" w:rsidRDefault="006A701A" w:rsidP="00F3426E">
            <w:pPr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F3426E">
              <w:rPr>
                <w:rFonts w:ascii="Times New Roman" w:hAnsi="Times New Roman"/>
                <w:b/>
                <w:color w:val="000000"/>
              </w:rPr>
              <w:t xml:space="preserve"> prac: </w:t>
            </w:r>
            <w:r w:rsidR="00F3426E" w:rsidRPr="00F3426E">
              <w:rPr>
                <w:rFonts w:ascii="Times New Roman" w:hAnsi="Times New Roman"/>
                <w:color w:val="000000"/>
              </w:rPr>
              <w:t>ID185</w:t>
            </w:r>
          </w:p>
        </w:tc>
      </w:tr>
      <w:tr w:rsidR="006A701A" w:rsidRPr="0022687A" w14:paraId="2CDB7B42" w14:textId="77777777" w:rsidTr="00DA7A68">
        <w:trPr>
          <w:trHeight w:val="142"/>
        </w:trPr>
        <w:tc>
          <w:tcPr>
            <w:tcW w:w="10632" w:type="dxa"/>
            <w:gridSpan w:val="5"/>
            <w:shd w:val="clear" w:color="auto" w:fill="99CCFF"/>
          </w:tcPr>
          <w:p w14:paraId="38E463F5" w14:textId="187C2735" w:rsidR="006A701A" w:rsidRPr="00627221" w:rsidRDefault="006A701A" w:rsidP="009027F8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6F2FD6" w14:textId="77777777" w:rsidTr="00DA7A68">
        <w:trPr>
          <w:trHeight w:val="333"/>
        </w:trPr>
        <w:tc>
          <w:tcPr>
            <w:tcW w:w="10632" w:type="dxa"/>
            <w:gridSpan w:val="5"/>
            <w:shd w:val="clear" w:color="auto" w:fill="99CCFF"/>
            <w:vAlign w:val="center"/>
          </w:tcPr>
          <w:p w14:paraId="7B1450DD" w14:textId="77777777" w:rsidR="006A701A" w:rsidRPr="008B4FE6" w:rsidRDefault="003D12F6" w:rsidP="009027F8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463D4E52" w14:textId="77777777" w:rsidTr="00DA7A68">
        <w:trPr>
          <w:trHeight w:val="142"/>
        </w:trPr>
        <w:tc>
          <w:tcPr>
            <w:tcW w:w="10632" w:type="dxa"/>
            <w:gridSpan w:val="5"/>
            <w:shd w:val="clear" w:color="auto" w:fill="FFFFFF"/>
          </w:tcPr>
          <w:p w14:paraId="258B00D5" w14:textId="77777777" w:rsidR="00A24A95" w:rsidRDefault="00205FC4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5CEF">
              <w:rPr>
                <w:rFonts w:ascii="Times New Roman" w:hAnsi="Times New Roman"/>
                <w:color w:val="000000"/>
              </w:rPr>
              <w:t>Projekt uchwały Rady Ministrów</w:t>
            </w:r>
            <w:r>
              <w:rPr>
                <w:rFonts w:ascii="Times New Roman" w:hAnsi="Times New Roman"/>
                <w:color w:val="000000"/>
              </w:rPr>
              <w:t xml:space="preserve"> w sprawie ustanowienia Programu </w:t>
            </w:r>
            <w:r w:rsidRPr="00FC1AD3">
              <w:rPr>
                <w:rFonts w:ascii="Times New Roman" w:hAnsi="Times New Roman"/>
                <w:color w:val="000000"/>
              </w:rPr>
              <w:t xml:space="preserve">Rozwoju Organizacji Obywatelskich na lata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FC1AD3">
              <w:rPr>
                <w:rFonts w:ascii="Times New Roman" w:hAnsi="Times New Roman"/>
                <w:color w:val="000000"/>
              </w:rPr>
              <w:t>2018-2030 PROO</w:t>
            </w:r>
            <w:r>
              <w:rPr>
                <w:rFonts w:ascii="Times New Roman" w:hAnsi="Times New Roman"/>
                <w:color w:val="000000"/>
              </w:rPr>
              <w:t xml:space="preserve"> bezpośrednio odpowiada na kluczowe bariery rozwoju sektora pozarządowego w Polsce. </w:t>
            </w:r>
            <w:r w:rsidR="00A24A95">
              <w:rPr>
                <w:rFonts w:ascii="Times New Roman" w:hAnsi="Times New Roman"/>
                <w:color w:val="000000"/>
                <w:spacing w:val="-2"/>
              </w:rPr>
              <w:t>Diagnoza rozwoju instytucjonalnego organizacji obywatelskich w Polsce przeprowadzona na potrzeby opracowania Programu wskazuje na następujące zjawiska, które hamują rozwój społeczeństwa obywatelskiego w Polsce:</w:t>
            </w:r>
          </w:p>
          <w:p w14:paraId="60ABA7EB" w14:textId="77777777" w:rsidR="00A24A95" w:rsidRPr="004C2053" w:rsidRDefault="00A24A95" w:rsidP="004C2053">
            <w:pPr>
              <w:pStyle w:val="Akapitzlist"/>
              <w:numPr>
                <w:ilvl w:val="0"/>
                <w:numId w:val="36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trudności w pozyskiwaniu środków, brak stabilności finansowej, rozwarstwienie ekonomiczne i małe zróżnicowanie przychodów organizacji,</w:t>
            </w:r>
          </w:p>
          <w:p w14:paraId="3455D995" w14:textId="77777777" w:rsidR="00A24A95" w:rsidRPr="004C2053" w:rsidRDefault="00A24A95" w:rsidP="004C2053">
            <w:pPr>
              <w:pStyle w:val="Akapitzlist"/>
              <w:numPr>
                <w:ilvl w:val="0"/>
                <w:numId w:val="36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deficyty zasobów ludzkich w organizacjach – braki w kadrze pracowniczej, bazie członkowskiej i wolontariacie oraz rozwarstwienie sektora w sferze zatrudnienia,</w:t>
            </w:r>
          </w:p>
          <w:p w14:paraId="5C890298" w14:textId="77777777" w:rsidR="00A24A95" w:rsidRPr="004C2053" w:rsidRDefault="00A24A95" w:rsidP="004C2053">
            <w:pPr>
              <w:pStyle w:val="Akapitzlist"/>
              <w:numPr>
                <w:ilvl w:val="0"/>
                <w:numId w:val="36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brak współpracy, konflikty i rywalizacja wewnątrz sektora,</w:t>
            </w:r>
          </w:p>
          <w:p w14:paraId="0F35566A" w14:textId="77777777" w:rsidR="00A24A95" w:rsidRPr="004C2053" w:rsidRDefault="00A24A95" w:rsidP="004C2053">
            <w:pPr>
              <w:pStyle w:val="Akapitzlist"/>
              <w:numPr>
                <w:ilvl w:val="0"/>
                <w:numId w:val="36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brak efektywnych struktur dialogu obywatelskiego,</w:t>
            </w:r>
          </w:p>
          <w:p w14:paraId="0C40E825" w14:textId="77777777" w:rsidR="006A701A" w:rsidRPr="004C2053" w:rsidRDefault="00A24A95" w:rsidP="004C2053">
            <w:pPr>
              <w:pStyle w:val="Akapitzlist"/>
              <w:numPr>
                <w:ilvl w:val="0"/>
                <w:numId w:val="36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niski potencjał mediów i think tanków obywatelskich, organizacji strażniczych.</w:t>
            </w:r>
          </w:p>
          <w:p w14:paraId="3116796E" w14:textId="68DC140C" w:rsidR="00777172" w:rsidRPr="00777172" w:rsidRDefault="00777172" w:rsidP="004C205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</w:t>
            </w:r>
            <w:r w:rsidR="006622F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ramach utrwalonego systemu zlecania zadań publicznych</w:t>
            </w:r>
            <w:r w:rsidR="006622F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24A95" w:rsidRPr="00A24A95">
              <w:rPr>
                <w:rFonts w:ascii="Times New Roman" w:hAnsi="Times New Roman"/>
                <w:color w:val="000000"/>
                <w:spacing w:val="-2"/>
              </w:rPr>
              <w:t>or</w:t>
            </w:r>
            <w:r>
              <w:rPr>
                <w:rFonts w:ascii="Times New Roman" w:hAnsi="Times New Roman"/>
                <w:color w:val="000000"/>
                <w:spacing w:val="-2"/>
              </w:rPr>
              <w:t>ganizacje obywatelskie przestają</w:t>
            </w:r>
            <w:r w:rsidR="00A24A95" w:rsidRPr="00A24A95">
              <w:rPr>
                <w:rFonts w:ascii="Times New Roman" w:hAnsi="Times New Roman"/>
                <w:color w:val="000000"/>
                <w:spacing w:val="-2"/>
              </w:rPr>
              <w:t xml:space="preserve"> być suwerennymi partner</w:t>
            </w:r>
            <w:r>
              <w:rPr>
                <w:rFonts w:ascii="Times New Roman" w:hAnsi="Times New Roman"/>
                <w:color w:val="000000"/>
                <w:spacing w:val="-2"/>
              </w:rPr>
              <w:t>ami dla organów państwa, a stają</w:t>
            </w:r>
            <w:r w:rsidR="00A24A95" w:rsidRPr="00A24A95">
              <w:rPr>
                <w:rFonts w:ascii="Times New Roman" w:hAnsi="Times New Roman"/>
                <w:color w:val="000000"/>
                <w:spacing w:val="-2"/>
              </w:rPr>
              <w:t xml:space="preserve"> się jedynie usługodawcami rywalizującymi o zlecenia </w:t>
            </w:r>
            <w:r w:rsidR="00D06532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A24A95" w:rsidRPr="00A24A95">
              <w:rPr>
                <w:rFonts w:ascii="Times New Roman" w:hAnsi="Times New Roman"/>
                <w:color w:val="000000"/>
                <w:spacing w:val="-2"/>
              </w:rPr>
              <w:t xml:space="preserve">aństwowe, uzależniając się od dopływu środków publicznych.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A24A95" w:rsidRPr="00A24A95">
              <w:rPr>
                <w:rFonts w:ascii="Times New Roman" w:hAnsi="Times New Roman"/>
                <w:color w:val="000000"/>
                <w:spacing w:val="-2"/>
              </w:rPr>
              <w:t xml:space="preserve">rganizacje wskazują, że ich rola ogranicza się często do bycia tanim </w:t>
            </w:r>
            <w:r w:rsidR="00D06532">
              <w:rPr>
                <w:rFonts w:ascii="Times New Roman" w:hAnsi="Times New Roman"/>
                <w:color w:val="000000"/>
                <w:spacing w:val="-2"/>
              </w:rPr>
              <w:t>wykonawcą</w:t>
            </w:r>
            <w:r w:rsidR="00A24A95" w:rsidRPr="00A24A95">
              <w:rPr>
                <w:rFonts w:ascii="Times New Roman" w:hAnsi="Times New Roman"/>
                <w:color w:val="000000"/>
                <w:spacing w:val="-2"/>
              </w:rPr>
              <w:t xml:space="preserve"> w realizowaniu zadań publicznych, nie ma natomiast charakteru realnej i partnerskiej współpracy przy tworzeniu oraz realizacji polityk publicznych.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06532">
              <w:rPr>
                <w:rFonts w:ascii="Times New Roman" w:hAnsi="Times New Roman"/>
                <w:color w:val="000000"/>
                <w:spacing w:val="-2"/>
              </w:rPr>
              <w:t xml:space="preserve">Z uwagi na fakt, że organizacje są powszechnie obligowane do współfinansowania realizowanych zadań publicznych, nie może być mowy o przeznaczaniu części budżetu zadania publicznego na rozwój instytucjonalny.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Funkcjonujący system </w:t>
            </w:r>
            <w:r w:rsidRPr="00777172">
              <w:rPr>
                <w:rFonts w:ascii="Times New Roman" w:hAnsi="Times New Roman"/>
                <w:color w:val="000000"/>
                <w:spacing w:val="-2"/>
              </w:rPr>
              <w:t xml:space="preserve">nie pozwala rozwijać obszarów zainteresowań i misyjnej aktywności organizacji, które zmuszone są do koncentrowania się na działalności </w:t>
            </w:r>
            <w:r w:rsidRPr="00777172">
              <w:rPr>
                <w:rFonts w:ascii="Times New Roman" w:hAnsi="Times New Roman"/>
                <w:i/>
                <w:color w:val="000000"/>
                <w:spacing w:val="-2"/>
              </w:rPr>
              <w:t>de facto</w:t>
            </w:r>
            <w:r w:rsidRPr="00777172">
              <w:rPr>
                <w:rFonts w:ascii="Times New Roman" w:hAnsi="Times New Roman"/>
                <w:color w:val="000000"/>
                <w:spacing w:val="-2"/>
              </w:rPr>
              <w:t xml:space="preserve"> usługowej na rzecz organów administracji publicznej. </w:t>
            </w:r>
            <w:r>
              <w:rPr>
                <w:rFonts w:ascii="Times New Roman" w:hAnsi="Times New Roman"/>
                <w:color w:val="000000"/>
                <w:spacing w:val="-2"/>
              </w:rPr>
              <w:t>Zidentyfikowano zatem pilną potrzebę podjęcia</w:t>
            </w:r>
            <w:r w:rsidRPr="00777172">
              <w:rPr>
                <w:rFonts w:ascii="Times New Roman" w:hAnsi="Times New Roman"/>
                <w:color w:val="000000"/>
                <w:spacing w:val="-2"/>
              </w:rPr>
              <w:t xml:space="preserve"> próby skonstruowania systemu stymulowania rozwoju instytucjonalnego organizacji obywatelskich w oparciu o model wsparcia podmiotowego, który premiować będzie wieloletnie programy rozwoju </w:t>
            </w:r>
            <w:r>
              <w:rPr>
                <w:rFonts w:ascii="Times New Roman" w:hAnsi="Times New Roman"/>
                <w:color w:val="000000"/>
                <w:spacing w:val="-2"/>
              </w:rPr>
              <w:t>obejmujące zarówno zasoby</w:t>
            </w:r>
            <w:r w:rsidRPr="00777172">
              <w:rPr>
                <w:rFonts w:ascii="Times New Roman" w:hAnsi="Times New Roman"/>
                <w:color w:val="000000"/>
                <w:spacing w:val="-2"/>
              </w:rPr>
              <w:t xml:space="preserve"> organizacji obywatelskich </w:t>
            </w:r>
            <w:r>
              <w:rPr>
                <w:rFonts w:ascii="Times New Roman" w:hAnsi="Times New Roman"/>
                <w:color w:val="000000"/>
                <w:spacing w:val="-2"/>
              </w:rPr>
              <w:t>jak i ich działalność programową.</w:t>
            </w:r>
          </w:p>
        </w:tc>
      </w:tr>
      <w:tr w:rsidR="006A701A" w:rsidRPr="008B4FE6" w14:paraId="4B0E11B1" w14:textId="77777777" w:rsidTr="00DA7A68">
        <w:trPr>
          <w:trHeight w:val="142"/>
        </w:trPr>
        <w:tc>
          <w:tcPr>
            <w:tcW w:w="10632" w:type="dxa"/>
            <w:gridSpan w:val="5"/>
            <w:shd w:val="clear" w:color="auto" w:fill="99CCFF"/>
            <w:vAlign w:val="center"/>
          </w:tcPr>
          <w:p w14:paraId="38F28611" w14:textId="77777777" w:rsidR="006A701A" w:rsidRPr="008B4FE6" w:rsidRDefault="0013216E" w:rsidP="009027F8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76CBC4D" w14:textId="77777777" w:rsidTr="00DA7A68">
        <w:trPr>
          <w:trHeight w:val="142"/>
        </w:trPr>
        <w:tc>
          <w:tcPr>
            <w:tcW w:w="10632" w:type="dxa"/>
            <w:gridSpan w:val="5"/>
            <w:shd w:val="clear" w:color="auto" w:fill="auto"/>
          </w:tcPr>
          <w:p w14:paraId="75C99322" w14:textId="1DE21928" w:rsidR="001B2316" w:rsidRDefault="001B2316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 ramach Programu zaplanowano interwencję, która zakłada zniesienie wskazanych powyżej barier i ograniczeń dla rozwoju społeczeństwa obywatelskiego. </w:t>
            </w:r>
            <w:r w:rsidRPr="00F30EA2">
              <w:rPr>
                <w:rFonts w:ascii="Times New Roman" w:hAnsi="Times New Roman"/>
                <w:color w:val="000000"/>
                <w:spacing w:val="-2"/>
              </w:rPr>
              <w:t>Głównym celem Programu jest wsparcie rozwoju instytucjonalnego organizacji społeczeństwa obywatelskiego</w:t>
            </w:r>
            <w:r w:rsidR="00E70A5B">
              <w:rPr>
                <w:rFonts w:ascii="Times New Roman" w:hAnsi="Times New Roman"/>
                <w:color w:val="000000"/>
                <w:spacing w:val="-2"/>
              </w:rPr>
              <w:t>, a w konsekwencji</w:t>
            </w:r>
            <w:r w:rsidRPr="00F30EA2">
              <w:rPr>
                <w:rFonts w:ascii="Times New Roman" w:hAnsi="Times New Roman"/>
                <w:color w:val="000000"/>
                <w:spacing w:val="-2"/>
              </w:rPr>
              <w:t xml:space="preserve"> zwiększenie udziału tych o</w:t>
            </w:r>
            <w:r w:rsidR="00AA6B28">
              <w:rPr>
                <w:rFonts w:ascii="Times New Roman" w:hAnsi="Times New Roman"/>
                <w:color w:val="000000"/>
                <w:spacing w:val="-2"/>
              </w:rPr>
              <w:t>rganizacji w życiu publicznym i </w:t>
            </w:r>
            <w:r w:rsidR="008A60D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E70A5B">
              <w:rPr>
                <w:rFonts w:ascii="Times New Roman" w:hAnsi="Times New Roman"/>
                <w:color w:val="000000"/>
                <w:spacing w:val="-2"/>
              </w:rPr>
              <w:t>powszechnianie</w:t>
            </w:r>
            <w:r w:rsidRPr="00F30EA2">
              <w:rPr>
                <w:rFonts w:ascii="Times New Roman" w:hAnsi="Times New Roman"/>
                <w:color w:val="000000"/>
                <w:spacing w:val="-2"/>
              </w:rPr>
              <w:t xml:space="preserve"> demokra</w:t>
            </w:r>
            <w:r w:rsidR="00E70A5B">
              <w:rPr>
                <w:rFonts w:ascii="Times New Roman" w:hAnsi="Times New Roman"/>
                <w:color w:val="000000"/>
                <w:spacing w:val="-2"/>
              </w:rPr>
              <w:t>tycznych norm obywatelskości</w:t>
            </w:r>
            <w:r w:rsidRPr="00F30EA2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Cele szczegółowe Programu zdefiniowano jako:</w:t>
            </w:r>
          </w:p>
          <w:p w14:paraId="511E6567" w14:textId="77777777" w:rsidR="001B2316" w:rsidRPr="004C2053" w:rsidRDefault="001B2316" w:rsidP="004C2053">
            <w:pPr>
              <w:pStyle w:val="Akapitzlist"/>
              <w:numPr>
                <w:ilvl w:val="0"/>
                <w:numId w:val="35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wzrost zaangażowania obywateli i organizacji obywatelskich w życie publiczne,</w:t>
            </w:r>
          </w:p>
          <w:p w14:paraId="1625098C" w14:textId="77777777" w:rsidR="001B2316" w:rsidRPr="004C2053" w:rsidRDefault="001B2316" w:rsidP="004C2053">
            <w:pPr>
              <w:pStyle w:val="Akapitzlist"/>
              <w:numPr>
                <w:ilvl w:val="0"/>
                <w:numId w:val="35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wzmocnienie organizacji obywatelskich w wymiarze strategicznym,</w:t>
            </w:r>
          </w:p>
          <w:p w14:paraId="25EBED45" w14:textId="77777777" w:rsidR="001B2316" w:rsidRPr="004C2053" w:rsidRDefault="001B2316" w:rsidP="004C2053">
            <w:pPr>
              <w:pStyle w:val="Akapitzlist"/>
              <w:numPr>
                <w:ilvl w:val="0"/>
                <w:numId w:val="35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poprawa stabilności finansowej organizacji obywatelskich.</w:t>
            </w:r>
          </w:p>
          <w:p w14:paraId="66FA2663" w14:textId="77777777" w:rsidR="001B2316" w:rsidRPr="008117FF" w:rsidRDefault="001B2316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117FF">
              <w:rPr>
                <w:rFonts w:ascii="Times New Roman" w:hAnsi="Times New Roman"/>
                <w:color w:val="000000"/>
                <w:spacing w:val="-2"/>
              </w:rPr>
              <w:t xml:space="preserve">Program wdrażany będzie w ramach 6 priorytetów: </w:t>
            </w:r>
          </w:p>
          <w:p w14:paraId="259F9841" w14:textId="77777777" w:rsidR="001B2316" w:rsidRPr="004C2053" w:rsidRDefault="001B2316" w:rsidP="004C2053">
            <w:pPr>
              <w:pStyle w:val="Akapitzlist"/>
              <w:numPr>
                <w:ilvl w:val="0"/>
                <w:numId w:val="34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Priorytet 1. Zrównoważony rozwój organizacyjny,</w:t>
            </w:r>
          </w:p>
          <w:p w14:paraId="76A0CBDA" w14:textId="77777777" w:rsidR="001B2316" w:rsidRPr="004C2053" w:rsidRDefault="001B2316" w:rsidP="004C2053">
            <w:pPr>
              <w:pStyle w:val="Akapitzlist"/>
              <w:numPr>
                <w:ilvl w:val="0"/>
                <w:numId w:val="34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Priorytet 2. Kapitały żelazne,</w:t>
            </w:r>
          </w:p>
          <w:p w14:paraId="11B96D06" w14:textId="77777777" w:rsidR="001B2316" w:rsidRPr="004C2053" w:rsidRDefault="001B2316" w:rsidP="004C2053">
            <w:pPr>
              <w:pStyle w:val="Akapitzlist"/>
              <w:numPr>
                <w:ilvl w:val="0"/>
                <w:numId w:val="34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Priorytet 3. Rozwój instytucjonalny lokalnych organizacji strażniczych i mediów obywatelskich,</w:t>
            </w:r>
          </w:p>
          <w:p w14:paraId="1198385A" w14:textId="77777777" w:rsidR="001B2316" w:rsidRPr="004C2053" w:rsidRDefault="001B2316" w:rsidP="004C2053">
            <w:pPr>
              <w:pStyle w:val="Akapitzlist"/>
              <w:numPr>
                <w:ilvl w:val="0"/>
                <w:numId w:val="34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Priorytet 4. Rozwój instytucjonalny think tanków obywatelskich,</w:t>
            </w:r>
          </w:p>
          <w:p w14:paraId="17B69EE1" w14:textId="77777777" w:rsidR="001B2316" w:rsidRPr="004C2053" w:rsidRDefault="001B2316" w:rsidP="004C2053">
            <w:pPr>
              <w:pStyle w:val="Akapitzlist"/>
              <w:numPr>
                <w:ilvl w:val="0"/>
                <w:numId w:val="34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Priorytet 5. Wsparcie doraźne – mikrodotacje,</w:t>
            </w:r>
          </w:p>
          <w:p w14:paraId="53F9CA78" w14:textId="77777777" w:rsidR="001B2316" w:rsidRPr="004C2053" w:rsidRDefault="001B2316" w:rsidP="004C2053">
            <w:pPr>
              <w:pStyle w:val="Akapitzlist"/>
              <w:numPr>
                <w:ilvl w:val="0"/>
                <w:numId w:val="34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Priorytet 6. Pomoc techniczna.</w:t>
            </w:r>
          </w:p>
          <w:p w14:paraId="30D9484B" w14:textId="77777777" w:rsidR="001B2316" w:rsidRPr="001B2316" w:rsidRDefault="001B2316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2316">
              <w:rPr>
                <w:rFonts w:ascii="Times New Roman" w:hAnsi="Times New Roman"/>
                <w:color w:val="000000"/>
                <w:spacing w:val="-2"/>
              </w:rPr>
              <w:t>W ram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B2316">
              <w:rPr>
                <w:rFonts w:ascii="Times New Roman" w:hAnsi="Times New Roman"/>
                <w:color w:val="000000"/>
                <w:spacing w:val="-2"/>
              </w:rPr>
              <w:t xml:space="preserve">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priorytetów </w:t>
            </w:r>
            <w:r w:rsidR="007267D3">
              <w:rPr>
                <w:rFonts w:ascii="Times New Roman" w:hAnsi="Times New Roman"/>
                <w:color w:val="000000"/>
                <w:spacing w:val="-2"/>
              </w:rPr>
              <w:t xml:space="preserve">1-5 przewidziano realizacje otwartych konkursów dotacyjnych, </w:t>
            </w:r>
            <w:r w:rsidR="006622FE">
              <w:rPr>
                <w:rFonts w:ascii="Times New Roman" w:hAnsi="Times New Roman"/>
                <w:color w:val="000000"/>
                <w:spacing w:val="-2"/>
              </w:rPr>
              <w:t xml:space="preserve">dzięki </w:t>
            </w:r>
            <w:r w:rsidR="007267D3">
              <w:rPr>
                <w:rFonts w:ascii="Times New Roman" w:hAnsi="Times New Roman"/>
                <w:color w:val="000000"/>
                <w:spacing w:val="-2"/>
              </w:rPr>
              <w:t>który</w:t>
            </w:r>
            <w:r w:rsidR="006622FE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7267D3">
              <w:rPr>
                <w:rFonts w:ascii="Times New Roman" w:hAnsi="Times New Roman"/>
                <w:color w:val="000000"/>
                <w:spacing w:val="-2"/>
              </w:rPr>
              <w:t xml:space="preserve"> organizacje obywatelskie uzyskają wsparcie na rozwój instytucjonalny w powiązaniu z realizacją działalności programowej.</w:t>
            </w:r>
          </w:p>
          <w:p w14:paraId="1AB731E6" w14:textId="3C938B3F" w:rsidR="001B2316" w:rsidRPr="001B2316" w:rsidRDefault="001B2316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Program wprowadza nową</w:t>
            </w:r>
            <w:r w:rsidR="006622F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punktu widzenia współpracy administracji publiczne</w:t>
            </w:r>
            <w:r w:rsidR="00AA6B28">
              <w:rPr>
                <w:rFonts w:ascii="Times New Roman" w:hAnsi="Times New Roman"/>
                <w:color w:val="000000"/>
                <w:spacing w:val="-2"/>
              </w:rPr>
              <w:t>j i organizacji pozarządowych w </w:t>
            </w:r>
            <w:r>
              <w:rPr>
                <w:rFonts w:ascii="Times New Roman" w:hAnsi="Times New Roman"/>
                <w:color w:val="000000"/>
                <w:spacing w:val="-2"/>
              </w:rPr>
              <w:t>Polsce</w:t>
            </w:r>
            <w:r w:rsidR="006622F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formę wsparcia instytucjonalnego, poza utrwalonym systemem zlecania zadań publicznych. </w:t>
            </w:r>
            <w:r w:rsidRPr="001B2316">
              <w:rPr>
                <w:rFonts w:ascii="Times New Roman" w:hAnsi="Times New Roman"/>
                <w:color w:val="000000"/>
                <w:spacing w:val="-2"/>
              </w:rPr>
              <w:t>Zidentyfikowano następujące rezultaty horyzontalne Programu rozumiane jako istotne zmiany w obszarze procesu budowy społecz</w:t>
            </w:r>
            <w:r w:rsidR="009D2C19">
              <w:rPr>
                <w:rFonts w:ascii="Times New Roman" w:hAnsi="Times New Roman"/>
                <w:color w:val="000000"/>
                <w:spacing w:val="-2"/>
              </w:rPr>
              <w:t>eństwa obywatelskiego w Polsce:</w:t>
            </w:r>
          </w:p>
          <w:p w14:paraId="0102176E" w14:textId="77777777" w:rsidR="001B2316" w:rsidRPr="004C2053" w:rsidRDefault="001B2316" w:rsidP="004C2053">
            <w:pPr>
              <w:pStyle w:val="Akapitzlist"/>
              <w:numPr>
                <w:ilvl w:val="0"/>
                <w:numId w:val="33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wzrost zaangażowania organizacji obywatelskich w życie publiczne, w szczególności wyrażony zwiększeniem liczby organizacji zaangażowanych w procesy konsultacji społecznych na różnych poziomach,</w:t>
            </w:r>
          </w:p>
          <w:p w14:paraId="48498664" w14:textId="3D4098C8" w:rsidR="001B2316" w:rsidRPr="004C2053" w:rsidRDefault="001B2316" w:rsidP="004C2053">
            <w:pPr>
              <w:pStyle w:val="Akapitzlist"/>
              <w:numPr>
                <w:ilvl w:val="0"/>
                <w:numId w:val="33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zwiększenie dynamiki dialogu obywatelskiego w Polsce, zbudowanie trwałych płaszczyzn kontaktów</w:t>
            </w:r>
            <w:r w:rsidR="00AA6B28">
              <w:rPr>
                <w:rFonts w:ascii="Times New Roman" w:hAnsi="Times New Roman"/>
                <w:color w:val="000000"/>
                <w:spacing w:val="-2"/>
              </w:rPr>
              <w:t xml:space="preserve"> i </w:t>
            </w:r>
            <w:r w:rsidRPr="004C2053">
              <w:rPr>
                <w:rFonts w:ascii="Times New Roman" w:hAnsi="Times New Roman"/>
                <w:color w:val="000000"/>
                <w:spacing w:val="-2"/>
              </w:rPr>
              <w:t>wymiany informacji między organami administracji publicznej, a organizacjami trzeciego sektora, w zakresie wzajemnego przekazywania sobie opinii, ustaleń i założeń dotyczących celów, instrumentów i strategii wdrażania polityk publicznych na różnych poziomach,</w:t>
            </w:r>
          </w:p>
          <w:p w14:paraId="47B58358" w14:textId="77777777" w:rsidR="001B2316" w:rsidRPr="004C2053" w:rsidRDefault="001B2316" w:rsidP="004C2053">
            <w:pPr>
              <w:pStyle w:val="Akapitzlist"/>
              <w:numPr>
                <w:ilvl w:val="0"/>
                <w:numId w:val="33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poprawa stabilności działania organizac</w:t>
            </w:r>
            <w:r w:rsidR="009D2C19" w:rsidRPr="004C2053">
              <w:rPr>
                <w:rFonts w:ascii="Times New Roman" w:hAnsi="Times New Roman"/>
                <w:color w:val="000000"/>
                <w:spacing w:val="-2"/>
              </w:rPr>
              <w:t xml:space="preserve">ji społeczeństwa obywatelskiego </w:t>
            </w:r>
            <w:r w:rsidRPr="004C2053">
              <w:rPr>
                <w:rFonts w:ascii="Times New Roman" w:hAnsi="Times New Roman"/>
                <w:color w:val="000000"/>
                <w:spacing w:val="-2"/>
              </w:rPr>
              <w:t>w wyniku dostępności środków „operacyjnych” pozwalających na realizację celów statuto</w:t>
            </w:r>
            <w:r w:rsidR="009D2C19" w:rsidRPr="004C2053">
              <w:rPr>
                <w:rFonts w:ascii="Times New Roman" w:hAnsi="Times New Roman"/>
                <w:color w:val="000000"/>
                <w:spacing w:val="-2"/>
              </w:rPr>
              <w:t>wych poza bieżącymi projektami (</w:t>
            </w:r>
            <w:r w:rsidRPr="004C2053">
              <w:rPr>
                <w:rFonts w:ascii="Times New Roman" w:hAnsi="Times New Roman"/>
                <w:color w:val="000000"/>
                <w:spacing w:val="-2"/>
              </w:rPr>
              <w:t>rozwój organizacyjny, wzmocnienie zasobów, wdrożenie standa</w:t>
            </w:r>
            <w:r w:rsidR="009D2C19" w:rsidRPr="004C2053">
              <w:rPr>
                <w:rFonts w:ascii="Times New Roman" w:hAnsi="Times New Roman"/>
                <w:color w:val="000000"/>
                <w:spacing w:val="-2"/>
              </w:rPr>
              <w:t>rdów zarządzania strategicznego),</w:t>
            </w:r>
          </w:p>
          <w:p w14:paraId="197CA42F" w14:textId="77777777" w:rsidR="001B2316" w:rsidRPr="004C2053" w:rsidRDefault="001B2316" w:rsidP="004C2053">
            <w:pPr>
              <w:pStyle w:val="Akapitzlist"/>
              <w:numPr>
                <w:ilvl w:val="0"/>
                <w:numId w:val="33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wzmocnienie organizacji, które dotychczas z uwagi na profil lub specyfikę działalności miały ograniczone możliwości korzystania ze wsparcia publicznego (np. organizacje strażnicze i rzecznicze, think tanki, media obywatelskie, itp.),</w:t>
            </w:r>
          </w:p>
          <w:p w14:paraId="5DB3510D" w14:textId="77777777" w:rsidR="001B2316" w:rsidRPr="004C2053" w:rsidRDefault="001B2316" w:rsidP="004C2053">
            <w:pPr>
              <w:pStyle w:val="Akapitzlist"/>
              <w:numPr>
                <w:ilvl w:val="0"/>
                <w:numId w:val="33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>poprawa bieżącej zdolności organizacji obywatelskich do realizacji podstawowych form działalności w wyniku możliwości skorzystania z unikatowej formy wsparcia doraźnego,</w:t>
            </w:r>
          </w:p>
          <w:p w14:paraId="43393F7B" w14:textId="77777777" w:rsidR="001B2316" w:rsidRPr="004C2053" w:rsidRDefault="001B2316" w:rsidP="004C2053">
            <w:pPr>
              <w:pStyle w:val="Akapitzlist"/>
              <w:numPr>
                <w:ilvl w:val="0"/>
                <w:numId w:val="33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2053">
              <w:rPr>
                <w:rFonts w:ascii="Times New Roman" w:hAnsi="Times New Roman"/>
                <w:color w:val="000000"/>
                <w:spacing w:val="-2"/>
              </w:rPr>
              <w:t xml:space="preserve">wzrost stabilności finansowej organizacji pozarządowych w perspektywie wieloletniej w wyniku istotnej interwencji na rzecz budowy kapitałów żelaznych w polskim sektorze obywatelskim. </w:t>
            </w:r>
          </w:p>
          <w:p w14:paraId="064530C5" w14:textId="77777777" w:rsidR="006A701A" w:rsidRPr="00B37C80" w:rsidRDefault="001B2316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Zakłada się, że w okresie realizacji</w:t>
            </w:r>
            <w:r w:rsidR="00B92A85">
              <w:rPr>
                <w:rFonts w:ascii="Times New Roman" w:hAnsi="Times New Roman"/>
                <w:color w:val="000000"/>
                <w:spacing w:val="-2"/>
              </w:rPr>
              <w:t xml:space="preserve"> Programu </w:t>
            </w:r>
            <w:r>
              <w:rPr>
                <w:rFonts w:ascii="Times New Roman" w:hAnsi="Times New Roman"/>
                <w:color w:val="000000"/>
                <w:spacing w:val="-2"/>
              </w:rPr>
              <w:t>bezpośrednie wsparcie uzyska ponad 11 tys. organizacji obywatelskich.</w:t>
            </w:r>
          </w:p>
        </w:tc>
      </w:tr>
      <w:tr w:rsidR="006A701A" w:rsidRPr="008B4FE6" w14:paraId="0DD7B36A" w14:textId="77777777" w:rsidTr="00DA7A68">
        <w:trPr>
          <w:trHeight w:val="307"/>
        </w:trPr>
        <w:tc>
          <w:tcPr>
            <w:tcW w:w="10632" w:type="dxa"/>
            <w:gridSpan w:val="5"/>
            <w:shd w:val="clear" w:color="auto" w:fill="99CCFF"/>
            <w:vAlign w:val="center"/>
          </w:tcPr>
          <w:p w14:paraId="11809B6F" w14:textId="77777777" w:rsidR="006A701A" w:rsidRPr="008B4FE6" w:rsidRDefault="009E3C4B" w:rsidP="004C2053">
            <w:pPr>
              <w:numPr>
                <w:ilvl w:val="0"/>
                <w:numId w:val="3"/>
              </w:numPr>
              <w:spacing w:before="120" w:after="12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141098C" w14:textId="77777777" w:rsidTr="00DA7A68">
        <w:trPr>
          <w:trHeight w:val="142"/>
        </w:trPr>
        <w:tc>
          <w:tcPr>
            <w:tcW w:w="10632" w:type="dxa"/>
            <w:gridSpan w:val="5"/>
            <w:shd w:val="clear" w:color="auto" w:fill="auto"/>
          </w:tcPr>
          <w:p w14:paraId="270AA4EE" w14:textId="0B99D069" w:rsidR="006A701A" w:rsidRPr="000B2E41" w:rsidRDefault="007267D3" w:rsidP="004C205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B2E41">
              <w:rPr>
                <w:rFonts w:ascii="Times New Roman" w:hAnsi="Times New Roman"/>
              </w:rPr>
              <w:t xml:space="preserve">Problem </w:t>
            </w:r>
            <w:r w:rsidR="00EE7BF2">
              <w:rPr>
                <w:rFonts w:ascii="Times New Roman" w:hAnsi="Times New Roman"/>
              </w:rPr>
              <w:t>rozwoju instytucjonalnego</w:t>
            </w:r>
            <w:r w:rsidR="000B2E41">
              <w:rPr>
                <w:rFonts w:ascii="Times New Roman" w:hAnsi="Times New Roman"/>
              </w:rPr>
              <w:t xml:space="preserve"> </w:t>
            </w:r>
            <w:r w:rsidR="00EE7BF2">
              <w:rPr>
                <w:rFonts w:ascii="Times New Roman" w:hAnsi="Times New Roman"/>
              </w:rPr>
              <w:t xml:space="preserve">organizacji obywatelskich </w:t>
            </w:r>
            <w:r w:rsidR="000B2E41">
              <w:rPr>
                <w:rFonts w:ascii="Times New Roman" w:hAnsi="Times New Roman"/>
              </w:rPr>
              <w:t xml:space="preserve">jest podejmowany </w:t>
            </w:r>
            <w:r w:rsidR="00EE7BF2">
              <w:rPr>
                <w:rFonts w:ascii="Times New Roman" w:hAnsi="Times New Roman"/>
              </w:rPr>
              <w:t xml:space="preserve">na poziomie Komisji Europejskiej. </w:t>
            </w:r>
            <w:r w:rsidR="00D06532">
              <w:rPr>
                <w:rFonts w:ascii="Times New Roman" w:hAnsi="Times New Roman"/>
              </w:rPr>
              <w:br/>
            </w:r>
            <w:r w:rsidR="00755E0D">
              <w:rPr>
                <w:rFonts w:ascii="Times New Roman" w:hAnsi="Times New Roman"/>
              </w:rPr>
              <w:t xml:space="preserve">W ramach programu </w:t>
            </w:r>
            <w:r w:rsidR="00755E0D" w:rsidRPr="00755E0D">
              <w:rPr>
                <w:rFonts w:ascii="Times New Roman" w:hAnsi="Times New Roman"/>
              </w:rPr>
              <w:t>„Europa dla Obywateli”</w:t>
            </w:r>
            <w:r w:rsidR="00755E0D">
              <w:rPr>
                <w:rFonts w:ascii="Times New Roman" w:hAnsi="Times New Roman"/>
              </w:rPr>
              <w:t xml:space="preserve"> wdrażanego przez EACEA </w:t>
            </w:r>
            <w:r w:rsidR="00D06532">
              <w:rPr>
                <w:rFonts w:ascii="Times New Roman" w:hAnsi="Times New Roman"/>
              </w:rPr>
              <w:t>(</w:t>
            </w:r>
            <w:r w:rsidR="00755E0D" w:rsidRPr="00755E0D">
              <w:rPr>
                <w:rFonts w:ascii="Times New Roman" w:hAnsi="Times New Roman"/>
              </w:rPr>
              <w:t>Education, Culture an</w:t>
            </w:r>
            <w:r w:rsidR="00D06532">
              <w:rPr>
                <w:rFonts w:ascii="Times New Roman" w:hAnsi="Times New Roman"/>
              </w:rPr>
              <w:t xml:space="preserve">d Audiovisual </w:t>
            </w:r>
            <w:r w:rsidR="00D06532">
              <w:rPr>
                <w:rFonts w:ascii="Times New Roman" w:hAnsi="Times New Roman"/>
              </w:rPr>
              <w:lastRenderedPageBreak/>
              <w:t>Executive Agency – Agencję Wykonawczą</w:t>
            </w:r>
            <w:r w:rsidR="00755E0D" w:rsidRPr="00755E0D">
              <w:rPr>
                <w:rFonts w:ascii="Times New Roman" w:hAnsi="Times New Roman"/>
              </w:rPr>
              <w:t xml:space="preserve"> ds. Edukacji, Kultury i Sektora Audiowizualnego Komisji Europejskiej)</w:t>
            </w:r>
            <w:r w:rsidR="00755E0D">
              <w:rPr>
                <w:rFonts w:ascii="Times New Roman" w:hAnsi="Times New Roman"/>
              </w:rPr>
              <w:t xml:space="preserve"> realizowany jest komponent „</w:t>
            </w:r>
            <w:r w:rsidR="00755E0D" w:rsidRPr="00755E0D">
              <w:rPr>
                <w:rFonts w:ascii="Times New Roman" w:hAnsi="Times New Roman"/>
              </w:rPr>
              <w:t>Dotacje na działalność – Wsparcie strukturalne dla europejskich kuźni idei i organizacji społeczeństwa obywatelskiego na szczeblu europejskim</w:t>
            </w:r>
            <w:r w:rsidR="00755E0D">
              <w:rPr>
                <w:rFonts w:ascii="Times New Roman" w:hAnsi="Times New Roman"/>
              </w:rPr>
              <w:t xml:space="preserve">”. </w:t>
            </w:r>
            <w:r w:rsidR="00755E0D" w:rsidRPr="00755E0D">
              <w:rPr>
                <w:rFonts w:ascii="Times New Roman" w:hAnsi="Times New Roman"/>
              </w:rPr>
              <w:t xml:space="preserve">Dotacje na działalność </w:t>
            </w:r>
            <w:r w:rsidR="00755E0D">
              <w:rPr>
                <w:rFonts w:ascii="Times New Roman" w:hAnsi="Times New Roman"/>
              </w:rPr>
              <w:t xml:space="preserve">służą </w:t>
            </w:r>
            <w:r w:rsidR="00755E0D" w:rsidRPr="00755E0D">
              <w:rPr>
                <w:rFonts w:ascii="Times New Roman" w:hAnsi="Times New Roman"/>
              </w:rPr>
              <w:t>współfinansowaniu kosztów operacyjnych</w:t>
            </w:r>
            <w:r w:rsidR="00755E0D">
              <w:rPr>
                <w:rFonts w:ascii="Times New Roman" w:hAnsi="Times New Roman"/>
              </w:rPr>
              <w:t xml:space="preserve"> organizacji</w:t>
            </w:r>
            <w:r w:rsidR="00755E0D" w:rsidRPr="00755E0D">
              <w:rPr>
                <w:rFonts w:ascii="Times New Roman" w:hAnsi="Times New Roman"/>
              </w:rPr>
              <w:t>, które umożliwiają danemu podmiotowi prowadzenie niezależnej działalności i wdrożenie szeregu działań w ramach celów programu.</w:t>
            </w:r>
          </w:p>
          <w:p w14:paraId="5E65F382" w14:textId="6E307E75" w:rsidR="006A701A" w:rsidRPr="000B2E41" w:rsidRDefault="00755E0D" w:rsidP="004C2053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Wielkiej Brytanii współpraca sektora publicznego i organizacji społeczeństwa ob</w:t>
            </w:r>
            <w:r w:rsidR="00AA6B28">
              <w:rPr>
                <w:rFonts w:ascii="Times New Roman" w:hAnsi="Times New Roman"/>
              </w:rPr>
              <w:t>ywatelskiego realizowana jest w </w:t>
            </w:r>
            <w:r>
              <w:rPr>
                <w:rFonts w:ascii="Times New Roman" w:hAnsi="Times New Roman"/>
              </w:rPr>
              <w:t>oparciu o zasady The Com</w:t>
            </w:r>
            <w:r w:rsidR="0099121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act</w:t>
            </w:r>
            <w:r w:rsidR="00991217">
              <w:rPr>
                <w:rFonts w:ascii="Times New Roman" w:hAnsi="Times New Roman"/>
              </w:rPr>
              <w:t xml:space="preserve"> – powszechnego porozumienia administracji publicznej i NGO z 1998</w:t>
            </w:r>
            <w:r w:rsidR="00D06532">
              <w:rPr>
                <w:rFonts w:ascii="Times New Roman" w:hAnsi="Times New Roman"/>
              </w:rPr>
              <w:t xml:space="preserve"> r</w:t>
            </w:r>
            <w:r w:rsidR="00991217">
              <w:rPr>
                <w:rFonts w:ascii="Times New Roman" w:hAnsi="Times New Roman"/>
              </w:rPr>
              <w:t xml:space="preserve">. </w:t>
            </w:r>
            <w:r w:rsidR="000B2E41" w:rsidRPr="000B2E41">
              <w:rPr>
                <w:rFonts w:ascii="Times New Roman" w:hAnsi="Times New Roman"/>
              </w:rPr>
              <w:t>Zapisy Compactu promują trzyletnie umowy na finansowanie organizacji oraz możliwość pokrycia w całości</w:t>
            </w:r>
            <w:r w:rsidR="00991217">
              <w:rPr>
                <w:rFonts w:ascii="Times New Roman" w:hAnsi="Times New Roman"/>
              </w:rPr>
              <w:t xml:space="preserve"> </w:t>
            </w:r>
            <w:r w:rsidR="000B2E41" w:rsidRPr="000B2E41">
              <w:rPr>
                <w:rFonts w:ascii="Times New Roman" w:hAnsi="Times New Roman"/>
              </w:rPr>
              <w:t>kosztów ponoszonych przez organizacje</w:t>
            </w:r>
            <w:r w:rsidR="00991217">
              <w:rPr>
                <w:rFonts w:ascii="Times New Roman" w:hAnsi="Times New Roman"/>
              </w:rPr>
              <w:t>, w tym także kosztów rozwoju instytucjonalnego</w:t>
            </w:r>
            <w:r w:rsidR="000B2E41" w:rsidRPr="000B2E41">
              <w:rPr>
                <w:rFonts w:ascii="Times New Roman" w:hAnsi="Times New Roman"/>
              </w:rPr>
              <w:t>.</w:t>
            </w:r>
            <w:r w:rsidR="00991217">
              <w:rPr>
                <w:rFonts w:ascii="Times New Roman" w:hAnsi="Times New Roman"/>
              </w:rPr>
              <w:t xml:space="preserve"> Dodatkowo w Wielkiej Brytanii administracja ma możliwość przekazywania mienia organizacjom obywatelskim, wspierając w ten sposób ich potencjał i trwałe zasoby.</w:t>
            </w:r>
          </w:p>
          <w:p w14:paraId="083BB326" w14:textId="77777777" w:rsidR="00C64F7D" w:rsidRPr="000B2E41" w:rsidRDefault="00991217" w:rsidP="004C2053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 Francji administracja publiczna współpracuje z organizacjami pozarządowymi na zasadach kontraktowania usług, jednak systemowo przewidziano przeznaczanie części </w:t>
            </w:r>
            <w:r w:rsidR="000B2E41" w:rsidRPr="000B2E41">
              <w:rPr>
                <w:rFonts w:ascii="Times New Roman" w:hAnsi="Times New Roman"/>
              </w:rPr>
              <w:t xml:space="preserve">przychodu ze świadczonych usług organizacji dla pokrycia </w:t>
            </w:r>
            <w:r w:rsidR="009027F8">
              <w:rPr>
                <w:rFonts w:ascii="Times New Roman" w:hAnsi="Times New Roman"/>
              </w:rPr>
              <w:t xml:space="preserve">ich </w:t>
            </w:r>
            <w:r w:rsidR="000B2E41" w:rsidRPr="000B2E41">
              <w:rPr>
                <w:rFonts w:ascii="Times New Roman" w:hAnsi="Times New Roman"/>
              </w:rPr>
              <w:t>kosztów ogólnych</w:t>
            </w:r>
            <w:r w:rsidR="009027F8">
              <w:rPr>
                <w:rFonts w:ascii="Times New Roman" w:hAnsi="Times New Roman"/>
              </w:rPr>
              <w:t xml:space="preserve"> oraz rozwoju instytucjonalnego</w:t>
            </w:r>
            <w:r w:rsidR="000B2E41" w:rsidRPr="000B2E41">
              <w:rPr>
                <w:rFonts w:ascii="Times New Roman" w:hAnsi="Times New Roman"/>
              </w:rPr>
              <w:t>.</w:t>
            </w:r>
          </w:p>
          <w:p w14:paraId="75546203" w14:textId="77777777" w:rsidR="006A701A" w:rsidRPr="000B2E41" w:rsidRDefault="00EE7BF2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Dodatkowo należy podkreślić, że w krajach Europy Zachodniej powszechnie przyjętym modelem jest rozliczanie zadań </w:t>
            </w:r>
            <w:r w:rsidR="009027F8">
              <w:rPr>
                <w:rFonts w:ascii="Times New Roman" w:hAnsi="Times New Roman"/>
                <w:color w:val="000000"/>
                <w:spacing w:val="-2"/>
              </w:rPr>
              <w:t>publicznych realizowanych przez organizacje obywatelskie „przez rezultaty” – co daje możliwość elastycznego dysponowania środkami finansowymi, w tym przeznaczanie ich na systematyczne wzmacnianie instytucjonalne organizacji.</w:t>
            </w:r>
          </w:p>
        </w:tc>
      </w:tr>
      <w:tr w:rsidR="006A701A" w:rsidRPr="008B4FE6" w14:paraId="70EF8D18" w14:textId="77777777" w:rsidTr="00DA7A68">
        <w:trPr>
          <w:trHeight w:val="359"/>
        </w:trPr>
        <w:tc>
          <w:tcPr>
            <w:tcW w:w="10632" w:type="dxa"/>
            <w:gridSpan w:val="5"/>
            <w:shd w:val="clear" w:color="auto" w:fill="99CCFF"/>
            <w:vAlign w:val="center"/>
          </w:tcPr>
          <w:p w14:paraId="77180E75" w14:textId="77777777" w:rsidR="006A701A" w:rsidRPr="008B4FE6" w:rsidRDefault="006A701A" w:rsidP="009027F8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4531B3C3" w14:textId="77777777" w:rsidTr="00DA7A68">
        <w:trPr>
          <w:trHeight w:val="142"/>
        </w:trPr>
        <w:tc>
          <w:tcPr>
            <w:tcW w:w="2668" w:type="dxa"/>
            <w:shd w:val="clear" w:color="auto" w:fill="auto"/>
          </w:tcPr>
          <w:p w14:paraId="3104D5D2" w14:textId="77777777" w:rsidR="00260F33" w:rsidRPr="008B4FE6" w:rsidRDefault="00260F33" w:rsidP="009027F8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shd w:val="clear" w:color="auto" w:fill="auto"/>
          </w:tcPr>
          <w:p w14:paraId="218B95C2" w14:textId="77777777" w:rsidR="00260F33" w:rsidRPr="008B4FE6" w:rsidRDefault="00563199" w:rsidP="009027F8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02FCFD5C" w14:textId="77777777" w:rsidR="00260F33" w:rsidRPr="008B4FE6" w:rsidRDefault="00260F33" w:rsidP="009027F8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3E9069A5" w14:textId="77777777" w:rsidR="00260F33" w:rsidRPr="008B4FE6" w:rsidRDefault="00260F33" w:rsidP="009027F8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5025A9B6" w14:textId="77777777" w:rsidTr="00DA7A68">
        <w:trPr>
          <w:trHeight w:val="142"/>
        </w:trPr>
        <w:tc>
          <w:tcPr>
            <w:tcW w:w="2668" w:type="dxa"/>
            <w:shd w:val="clear" w:color="auto" w:fill="auto"/>
            <w:vAlign w:val="center"/>
          </w:tcPr>
          <w:p w14:paraId="1ECA2200" w14:textId="77777777" w:rsidR="00260F33" w:rsidRPr="008B4FE6" w:rsidRDefault="00991217" w:rsidP="009027F8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Narodowy Instytut Wolności – Centrum Rozwoju Społeczeństwa Obywatelskiego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B870B87" w14:textId="77777777" w:rsidR="00260F33" w:rsidRPr="00B37C80" w:rsidRDefault="00991217" w:rsidP="009027F8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6D2165C" w14:textId="77777777" w:rsidR="00260F33" w:rsidRPr="00B37C80" w:rsidRDefault="00AE5E26" w:rsidP="009027F8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4B07282" w14:textId="77777777" w:rsidR="00260F33" w:rsidRPr="00B37C80" w:rsidRDefault="009027F8" w:rsidP="009027F8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NIW-CRSO będzie Instytucją Zarządzającą PROO</w:t>
            </w:r>
          </w:p>
        </w:tc>
      </w:tr>
      <w:tr w:rsidR="009027F8" w:rsidRPr="008B4FE6" w14:paraId="5D53D78E" w14:textId="77777777" w:rsidTr="00DA7A68">
        <w:trPr>
          <w:trHeight w:val="142"/>
        </w:trPr>
        <w:tc>
          <w:tcPr>
            <w:tcW w:w="2668" w:type="dxa"/>
            <w:shd w:val="clear" w:color="auto" w:fill="auto"/>
            <w:vAlign w:val="center"/>
          </w:tcPr>
          <w:p w14:paraId="4FEC85B4" w14:textId="77777777" w:rsidR="009027F8" w:rsidRPr="009027F8" w:rsidRDefault="009027F8" w:rsidP="009027F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027F8">
              <w:rPr>
                <w:rFonts w:ascii="Times New Roman" w:hAnsi="Times New Roman"/>
              </w:rPr>
              <w:t>Organizacje Pozarządowe oraz podmioty określone w art. 3 ust. 3 ustawy z dnia 24 kwietnia 2003 r. o działalności pożytku publicznego i o wolontariacie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FD23B62" w14:textId="77777777" w:rsidR="009027F8" w:rsidRPr="009027F8" w:rsidRDefault="00AE5E26" w:rsidP="009027F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E5E26">
              <w:rPr>
                <w:rFonts w:ascii="Times New Roman" w:hAnsi="Times New Roman"/>
                <w:spacing w:val="-2"/>
              </w:rPr>
              <w:t>91,8 tys</w:t>
            </w:r>
            <w:r w:rsidR="009F48D9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7F3CF524" w14:textId="77777777" w:rsidR="009027F8" w:rsidRPr="009027F8" w:rsidRDefault="009027F8" w:rsidP="00AE5E2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027F8">
              <w:rPr>
                <w:rFonts w:ascii="Times New Roman" w:hAnsi="Times New Roman"/>
                <w:spacing w:val="-2"/>
              </w:rPr>
              <w:t>Dane GUS</w:t>
            </w:r>
            <w:r w:rsidR="00AE5E26">
              <w:rPr>
                <w:rFonts w:ascii="Times New Roman" w:hAnsi="Times New Roman"/>
                <w:spacing w:val="-2"/>
              </w:rPr>
              <w:t>, 2016 r.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0955E69" w14:textId="77777777" w:rsidR="009027F8" w:rsidRPr="009027F8" w:rsidRDefault="009027F8" w:rsidP="009027F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027F8">
              <w:rPr>
                <w:rFonts w:ascii="Times New Roman" w:hAnsi="Times New Roman"/>
                <w:spacing w:val="-2"/>
              </w:rPr>
              <w:t xml:space="preserve">Organizacje </w:t>
            </w:r>
            <w:r>
              <w:rPr>
                <w:rFonts w:ascii="Times New Roman" w:hAnsi="Times New Roman"/>
                <w:spacing w:val="-2"/>
              </w:rPr>
              <w:t>zyskają dostęp do elastycznego źródła finansowania rozwoju instytucjonalnego.</w:t>
            </w:r>
          </w:p>
        </w:tc>
      </w:tr>
      <w:tr w:rsidR="009027F8" w:rsidRPr="008B4FE6" w14:paraId="20986980" w14:textId="77777777" w:rsidTr="00DA7A68">
        <w:trPr>
          <w:trHeight w:val="302"/>
        </w:trPr>
        <w:tc>
          <w:tcPr>
            <w:tcW w:w="10632" w:type="dxa"/>
            <w:gridSpan w:val="5"/>
            <w:shd w:val="clear" w:color="auto" w:fill="99CCFF"/>
            <w:vAlign w:val="center"/>
          </w:tcPr>
          <w:p w14:paraId="748154A0" w14:textId="77777777" w:rsidR="009027F8" w:rsidRPr="008B4FE6" w:rsidRDefault="009027F8" w:rsidP="009027F8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027F8" w:rsidRPr="008B4FE6" w14:paraId="270BA318" w14:textId="77777777" w:rsidTr="00DA7A68">
        <w:trPr>
          <w:trHeight w:val="342"/>
        </w:trPr>
        <w:tc>
          <w:tcPr>
            <w:tcW w:w="10632" w:type="dxa"/>
            <w:gridSpan w:val="5"/>
            <w:shd w:val="clear" w:color="auto" w:fill="FFFFFF"/>
          </w:tcPr>
          <w:p w14:paraId="12141238" w14:textId="2F4A8AE3" w:rsidR="009027F8" w:rsidRPr="00B37C80" w:rsidRDefault="009027F8" w:rsidP="006778EB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Zaplanowano przeprowadzenie konsultacji </w:t>
            </w:r>
            <w:r w:rsidR="00FC4AD4">
              <w:rPr>
                <w:rFonts w:ascii="Times New Roman" w:hAnsi="Times New Roman"/>
                <w:color w:val="000000"/>
                <w:spacing w:val="-2"/>
              </w:rPr>
              <w:t>publicznych</w:t>
            </w:r>
            <w:r w:rsidR="00AE5E26">
              <w:rPr>
                <w:rFonts w:ascii="Times New Roman" w:hAnsi="Times New Roman"/>
                <w:color w:val="000000"/>
                <w:spacing w:val="-2"/>
              </w:rPr>
              <w:t xml:space="preserve"> równolegle z procesem uzgodnień.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E5E2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Programu zostanie opublikowany w Biuletynie Informacji Publicznej </w:t>
            </w:r>
            <w:r w:rsidR="00AE5E26">
              <w:rPr>
                <w:rFonts w:ascii="Times New Roman" w:hAnsi="Times New Roman"/>
                <w:color w:val="000000"/>
                <w:spacing w:val="-2"/>
              </w:rPr>
              <w:t xml:space="preserve">Kancelarii Prezesa Rady Ministrów. </w:t>
            </w:r>
            <w:r w:rsidR="00F71F89">
              <w:rPr>
                <w:rFonts w:ascii="Times New Roman" w:hAnsi="Times New Roman"/>
                <w:color w:val="000000"/>
                <w:spacing w:val="-2"/>
              </w:rPr>
              <w:t xml:space="preserve">Projekt Programu zostanie skierowany do Rady Działalności Pożytku Publicznego </w:t>
            </w:r>
            <w:r w:rsidR="00AA6B28">
              <w:rPr>
                <w:rFonts w:ascii="Times New Roman" w:hAnsi="Times New Roman"/>
                <w:color w:val="000000"/>
                <w:spacing w:val="-2"/>
              </w:rPr>
              <w:t>w </w:t>
            </w:r>
            <w:r w:rsidR="001B7688">
              <w:rPr>
                <w:rFonts w:ascii="Times New Roman" w:hAnsi="Times New Roman"/>
                <w:color w:val="000000"/>
                <w:spacing w:val="-2"/>
              </w:rPr>
              <w:t xml:space="preserve">celu jego opiniowania. </w:t>
            </w:r>
            <w:r w:rsidR="00AE5E26" w:rsidRPr="00AE5E26">
              <w:rPr>
                <w:rFonts w:ascii="Times New Roman" w:hAnsi="Times New Roman"/>
                <w:color w:val="000000"/>
                <w:spacing w:val="-2"/>
              </w:rPr>
              <w:t>Wyniki konsultacji zostaną omówione w raporcie</w:t>
            </w:r>
            <w:r w:rsidR="002E411F">
              <w:rPr>
                <w:rFonts w:ascii="Times New Roman" w:hAnsi="Times New Roman"/>
                <w:color w:val="000000"/>
                <w:spacing w:val="-2"/>
              </w:rPr>
              <w:t xml:space="preserve"> z konsultacji</w:t>
            </w:r>
            <w:r w:rsidR="00AE5E26" w:rsidRPr="00AE5E26">
              <w:rPr>
                <w:rFonts w:ascii="Times New Roman" w:hAnsi="Times New Roman"/>
                <w:color w:val="000000"/>
                <w:spacing w:val="-2"/>
              </w:rPr>
              <w:t xml:space="preserve"> dołączonym do niniejszej Oceny </w:t>
            </w:r>
            <w:r w:rsidR="00AE5E26">
              <w:rPr>
                <w:rFonts w:ascii="Times New Roman" w:hAnsi="Times New Roman"/>
                <w:color w:val="000000"/>
                <w:spacing w:val="-2"/>
              </w:rPr>
              <w:t xml:space="preserve">Skutków Regulacji </w:t>
            </w:r>
            <w:r w:rsidR="00AE5E26" w:rsidRPr="00AE5E26">
              <w:rPr>
                <w:rFonts w:ascii="Times New Roman" w:hAnsi="Times New Roman"/>
                <w:color w:val="000000"/>
                <w:spacing w:val="-2"/>
              </w:rPr>
              <w:t>po ich zakończeniu.</w:t>
            </w:r>
          </w:p>
        </w:tc>
      </w:tr>
    </w:tbl>
    <w:p w14:paraId="29BD41A3" w14:textId="77777777" w:rsidR="00772ED0" w:rsidRDefault="00772ED0">
      <w:r>
        <w:br w:type="page"/>
      </w:r>
    </w:p>
    <w:p w14:paraId="6C2B11A1" w14:textId="77777777" w:rsidR="00772ED0" w:rsidRDefault="00772ED0" w:rsidP="009027F8">
      <w:pPr>
        <w:numPr>
          <w:ilvl w:val="0"/>
          <w:numId w:val="3"/>
        </w:numPr>
        <w:spacing w:before="60" w:after="60"/>
        <w:ind w:left="318" w:hanging="284"/>
        <w:jc w:val="both"/>
        <w:rPr>
          <w:rFonts w:ascii="Times New Roman" w:hAnsi="Times New Roman"/>
          <w:b/>
          <w:color w:val="000000"/>
        </w:rPr>
        <w:sectPr w:rsidR="00772ED0" w:rsidSect="00DA7A68">
          <w:pgSz w:w="11906" w:h="16838"/>
          <w:pgMar w:top="851" w:right="707" w:bottom="568" w:left="720" w:header="708" w:footer="290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579"/>
        <w:gridCol w:w="640"/>
        <w:gridCol w:w="1645"/>
        <w:gridCol w:w="237"/>
        <w:gridCol w:w="9"/>
        <w:gridCol w:w="693"/>
        <w:gridCol w:w="92"/>
        <w:gridCol w:w="760"/>
        <w:gridCol w:w="34"/>
        <w:gridCol w:w="679"/>
        <w:gridCol w:w="115"/>
        <w:gridCol w:w="593"/>
        <w:gridCol w:w="201"/>
        <w:gridCol w:w="519"/>
        <w:gridCol w:w="275"/>
        <w:gridCol w:w="434"/>
        <w:gridCol w:w="360"/>
        <w:gridCol w:w="348"/>
        <w:gridCol w:w="446"/>
        <w:gridCol w:w="263"/>
        <w:gridCol w:w="531"/>
        <w:gridCol w:w="178"/>
        <w:gridCol w:w="616"/>
        <w:gridCol w:w="93"/>
        <w:gridCol w:w="701"/>
        <w:gridCol w:w="149"/>
        <w:gridCol w:w="645"/>
        <w:gridCol w:w="64"/>
        <w:gridCol w:w="709"/>
        <w:gridCol w:w="21"/>
        <w:gridCol w:w="794"/>
        <w:gridCol w:w="744"/>
      </w:tblGrid>
      <w:tr w:rsidR="00CC0C60" w:rsidRPr="008B4FE6" w14:paraId="3CC9ACE6" w14:textId="77777777" w:rsidTr="004C2053">
        <w:trPr>
          <w:trHeight w:val="363"/>
        </w:trPr>
        <w:tc>
          <w:tcPr>
            <w:tcW w:w="15167" w:type="dxa"/>
            <w:gridSpan w:val="32"/>
            <w:shd w:val="clear" w:color="auto" w:fill="99CCFF"/>
          </w:tcPr>
          <w:p w14:paraId="047CA4C4" w14:textId="3258D8F9" w:rsidR="00CC0C60" w:rsidRPr="008B4FE6" w:rsidRDefault="00CC0C60" w:rsidP="009027F8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C0C60" w:rsidRPr="008B4FE6" w14:paraId="2B7D6DD4" w14:textId="77777777" w:rsidTr="004C2053">
        <w:trPr>
          <w:trHeight w:val="142"/>
        </w:trPr>
        <w:tc>
          <w:tcPr>
            <w:tcW w:w="4101" w:type="dxa"/>
            <w:gridSpan w:val="4"/>
            <w:vMerge w:val="restart"/>
            <w:shd w:val="clear" w:color="auto" w:fill="FFFFFF"/>
          </w:tcPr>
          <w:p w14:paraId="1FFAC827" w14:textId="77777777" w:rsidR="00CC0C60" w:rsidRPr="00C53F26" w:rsidRDefault="00CC0C60" w:rsidP="009027F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11066" w:type="dxa"/>
            <w:gridSpan w:val="28"/>
            <w:shd w:val="clear" w:color="auto" w:fill="FFFFFF"/>
          </w:tcPr>
          <w:p w14:paraId="72DD366A" w14:textId="1585293A" w:rsidR="00CC0C60" w:rsidRPr="005016B8" w:rsidRDefault="00CC0C60" w:rsidP="009027F8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1"/>
                <w:szCs w:val="21"/>
              </w:rPr>
            </w:pPr>
            <w:r w:rsidRPr="005016B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DA7A68" w:rsidRPr="008B4FE6" w14:paraId="2C355DF0" w14:textId="77777777" w:rsidTr="004C2053">
        <w:trPr>
          <w:trHeight w:val="142"/>
        </w:trPr>
        <w:tc>
          <w:tcPr>
            <w:tcW w:w="4101" w:type="dxa"/>
            <w:gridSpan w:val="4"/>
            <w:vMerge/>
            <w:shd w:val="clear" w:color="auto" w:fill="FFFFFF"/>
          </w:tcPr>
          <w:p w14:paraId="05EB3875" w14:textId="77777777" w:rsidR="00CC0C60" w:rsidRPr="00C53F26" w:rsidRDefault="00CC0C60" w:rsidP="009027F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BE19D33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95865F4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F4BEC80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EBCC071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A2F9600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E9A6DDE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575BEC1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123DB89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7AA0669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0C4DCB7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B54018B" w14:textId="77777777" w:rsidR="00CC0C60" w:rsidRPr="00CC0C60" w:rsidRDefault="00CC0C60" w:rsidP="00CC0C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BBD7BFB" w14:textId="686143BB" w:rsidR="00CC0C60" w:rsidRPr="00CC0C60" w:rsidRDefault="00CC0C60" w:rsidP="00CC0C60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F4A2068" w14:textId="76703C77" w:rsidR="00CC0C60" w:rsidRPr="00CC0C60" w:rsidRDefault="00CC0C60" w:rsidP="00CC0C60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C0C6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00CBF9A8" w14:textId="3902CCE1" w:rsidR="00CC0C60" w:rsidRPr="00DA7A68" w:rsidRDefault="00CC0C60" w:rsidP="00CC0C60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</w:rPr>
            </w:pPr>
            <w:r w:rsidRPr="00DA7A68"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</w:rPr>
              <w:t>Łącznie (0-12)</w:t>
            </w:r>
          </w:p>
        </w:tc>
      </w:tr>
      <w:tr w:rsidR="00DA7A68" w:rsidRPr="008B4FE6" w14:paraId="6DBEA4D4" w14:textId="77777777" w:rsidTr="004C2053">
        <w:trPr>
          <w:trHeight w:val="321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16618F5A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7C53E25" w14:textId="5E9AE9DD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4EDF21A" w14:textId="57CFD21E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76D8F0F" w14:textId="5ABCA98E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1161475" w14:textId="12C19291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71B9675" w14:textId="27208052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867EB0F" w14:textId="24E793BF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5B16F26" w14:textId="631BC493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301D054" w14:textId="3B513277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7A22A51" w14:textId="3509CAC2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33E2C63" w14:textId="53B451E9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33985F7" w14:textId="47B744E4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2F7CFC9" w14:textId="5CDAB239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7EB2A83" w14:textId="4CF414EA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60D530D1" w14:textId="4AD3378A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5213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7209641E" w14:textId="77777777" w:rsidTr="004C2053">
        <w:trPr>
          <w:trHeight w:val="321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45C6503A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94" w:type="dxa"/>
            <w:gridSpan w:val="3"/>
            <w:shd w:val="clear" w:color="auto" w:fill="FFFFFF"/>
          </w:tcPr>
          <w:p w14:paraId="64009A9C" w14:textId="3CFFC787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6382ED6" w14:textId="2B0D469A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34698B41" w14:textId="079CDA0B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50100957" w14:textId="2132D3A0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12432873" w14:textId="22C9B764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35736F16" w14:textId="0911FD6F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28797862" w14:textId="360DD1DC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570C15D3" w14:textId="4409E6FF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5AE31C6" w14:textId="56521BC6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6B81E8C" w14:textId="37A9BB0E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60789B60" w14:textId="19BAEC6B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</w:tcPr>
          <w:p w14:paraId="210BF694" w14:textId="4A52EBF9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</w:tcPr>
          <w:p w14:paraId="62FF533F" w14:textId="1EB201CD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</w:tcPr>
          <w:p w14:paraId="0DEDACC3" w14:textId="71C57841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419C1997" w14:textId="77777777" w:rsidTr="004C2053">
        <w:trPr>
          <w:trHeight w:val="344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6D52C456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94" w:type="dxa"/>
            <w:gridSpan w:val="3"/>
            <w:shd w:val="clear" w:color="auto" w:fill="FFFFFF"/>
          </w:tcPr>
          <w:p w14:paraId="1B4317BF" w14:textId="3B965DA2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77F2C1A4" w14:textId="375A44EF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36FBA6D1" w14:textId="276580AF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6F3B6BAD" w14:textId="35ED5FD7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559EBE30" w14:textId="2F8D3119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45F31878" w14:textId="123452A9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19FE960D" w14:textId="4B38A356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56CF3E1F" w14:textId="4AEFA332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7869BE15" w14:textId="0579EBE5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BAE2EC2" w14:textId="330C7833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</w:tcPr>
          <w:p w14:paraId="6AA06B5C" w14:textId="6A337CEF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</w:tcPr>
          <w:p w14:paraId="27438DF4" w14:textId="2DFBE1E7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</w:tcPr>
          <w:p w14:paraId="34447728" w14:textId="3FA353DE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5ADDD69D" w14:textId="77777777" w:rsidTr="004C2053">
        <w:trPr>
          <w:trHeight w:val="344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1C8E8A74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pozostałe </w:t>
            </w:r>
            <w:r w:rsidRPr="008E390A">
              <w:rPr>
                <w:rFonts w:ascii="Times New Roman" w:hAnsi="Times New Roman"/>
                <w:color w:val="000000"/>
                <w:sz w:val="21"/>
                <w:szCs w:val="21"/>
              </w:rPr>
              <w:t>jednostki (oddzielnie)</w:t>
            </w:r>
          </w:p>
        </w:tc>
        <w:tc>
          <w:tcPr>
            <w:tcW w:w="794" w:type="dxa"/>
            <w:gridSpan w:val="3"/>
            <w:shd w:val="clear" w:color="auto" w:fill="FFFFFF"/>
          </w:tcPr>
          <w:p w14:paraId="23623A64" w14:textId="1292F6A8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A66D54A" w14:textId="1D134723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26112BE3" w14:textId="7C068540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7BCD592F" w14:textId="6E829637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FE36959" w14:textId="56A167A5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224D25D2" w14:textId="7C53CDDF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4B09C65" w14:textId="56DEFFD8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66C7D87" w14:textId="665497D8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0B184551" w14:textId="548CC68C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3D27DA6A" w14:textId="315B6192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</w:tcPr>
          <w:p w14:paraId="3CF2F1DE" w14:textId="006C0044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</w:tcPr>
          <w:p w14:paraId="32E6D16D" w14:textId="544CBB15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</w:tcPr>
          <w:p w14:paraId="5BFCFE8A" w14:textId="331618E3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</w:tcPr>
          <w:p w14:paraId="4F35B7ED" w14:textId="77D54808" w:rsidR="005016B8" w:rsidRPr="00B37C80" w:rsidRDefault="005016B8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67E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671B7186" w14:textId="77777777" w:rsidTr="004C2053">
        <w:trPr>
          <w:trHeight w:val="330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0B7F24DF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7B63EB4" w14:textId="50CC903C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5904201" w14:textId="43F2701A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A40E632" w14:textId="46C373A1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6CBF119" w14:textId="5337CDB1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8ECF2E5" w14:textId="1EDACFDA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52F187B" w14:textId="4B649BC9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ACADFA1" w14:textId="6DB953B2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3F1FF20" w14:textId="79CCC028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5D54E15" w14:textId="3EF4BF55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3216533" w14:textId="4E5D0302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334531B" w14:textId="6149497A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55F866F" w14:textId="5394C0C9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CB548E2" w14:textId="0CB4B557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69651D21" w14:textId="0B9D87AD" w:rsidR="005016B8" w:rsidRPr="00CC0C60" w:rsidRDefault="005016B8" w:rsidP="005016B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585</w:t>
            </w:r>
          </w:p>
        </w:tc>
      </w:tr>
      <w:tr w:rsidR="00DA7A68" w:rsidRPr="008B4FE6" w14:paraId="310BDBC7" w14:textId="77777777" w:rsidTr="004C2053">
        <w:trPr>
          <w:trHeight w:val="330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22DF0928" w14:textId="77777777" w:rsidR="00CC0C60" w:rsidRPr="00C53F26" w:rsidRDefault="00CC0C60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16F1773" w14:textId="0A8AB41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DE38166" w14:textId="062BF2A9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BE8121B" w14:textId="5F08ED1F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10B4697" w14:textId="747DB326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89FCBDA" w14:textId="154EA06F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55C1820" w14:textId="046D7DE5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9166AB9" w14:textId="77837D2D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C093902" w14:textId="0A661007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8DD0108" w14:textId="08818695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17D5AC3" w14:textId="6C14B1C8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10FAFED" w14:textId="70F53393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45220F8" w14:textId="09C87A3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DC79B51" w14:textId="6B05C53B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21DCDCB5" w14:textId="576C512F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4F9F818D" w14:textId="77777777" w:rsidTr="004C2053">
        <w:trPr>
          <w:trHeight w:val="351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2EFB3AD5" w14:textId="77777777" w:rsidR="00CC0C60" w:rsidRPr="00C53F26" w:rsidRDefault="00CC0C60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70CD98A" w14:textId="71734F5D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3026D02" w14:textId="6FB89413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F1CB287" w14:textId="17158F52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AF9C5DA" w14:textId="3127FE5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B2809BE" w14:textId="66559A0F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A0ABE27" w14:textId="7D0429B5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92DA906" w14:textId="23C0F30D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7BA1044" w14:textId="3C38FB96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80EC651" w14:textId="7118765E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9DABB16" w14:textId="5281DBEC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7481489" w14:textId="5ADEDC9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FBD9D65" w14:textId="32C1E10E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84C1C63" w14:textId="52E39925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43488191" w14:textId="00771017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2B462791" w14:textId="77777777" w:rsidTr="004C2053">
        <w:trPr>
          <w:trHeight w:val="351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78C8FE22" w14:textId="77777777" w:rsidR="004C2053" w:rsidRDefault="00CC0C60" w:rsidP="004C205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pozostałe jednostki </w:t>
            </w:r>
          </w:p>
          <w:p w14:paraId="3539CAF3" w14:textId="51CA46CD" w:rsidR="00CC0C60" w:rsidRPr="00C53F26" w:rsidRDefault="004C2053" w:rsidP="004C205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(FUNDUSZ WSPIERANIA ROZWOJU SPOŁECZEŃSTWA OBYWATELSKIEGO)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052BA61F" w14:textId="70578261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6909E91" w14:textId="539D2BD7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520206E" w14:textId="70D71317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C88EA42" w14:textId="6DC78D52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B8FDF10" w14:textId="6927DCA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96D30AC" w14:textId="4B0DF743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CF0F160" w14:textId="5DBCA2D2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268E73D" w14:textId="4DD54891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D7BD033" w14:textId="6493569F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1EF017C" w14:textId="545961B3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9189410" w14:textId="71D2BC5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3F6754F" w14:textId="1897BB64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40FF251A" w14:textId="6C8CD22A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4EF5157C" w14:textId="2D993FA8" w:rsidR="00CC0C60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585</w:t>
            </w:r>
          </w:p>
        </w:tc>
      </w:tr>
      <w:tr w:rsidR="00DA7A68" w:rsidRPr="008B4FE6" w14:paraId="2CBD61CC" w14:textId="77777777" w:rsidTr="004C2053">
        <w:trPr>
          <w:trHeight w:val="360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3D68A045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1D9528D" w14:textId="3209BE09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940E31C" w14:textId="3ACC391C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95574A1" w14:textId="47B7B8D8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E67F498" w14:textId="6E3B0FDB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51F3638" w14:textId="6ADC3925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96FFBB9" w14:textId="1D89328F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818F24C" w14:textId="33656401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01444D2" w14:textId="53BA3BDA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4A105C1" w14:textId="2A96EA98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066924F" w14:textId="7AB29F3C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A07A855" w14:textId="3193AEB8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C12AA5F" w14:textId="09A28E4E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31F01A3" w14:textId="3C3A086C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Pr="005F28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32D1913B" w14:textId="1961F905" w:rsidR="005016B8" w:rsidRPr="00CC0C60" w:rsidRDefault="005016B8" w:rsidP="00CC0C6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-585</w:t>
            </w:r>
          </w:p>
        </w:tc>
      </w:tr>
      <w:tr w:rsidR="00DA7A68" w:rsidRPr="008B4FE6" w14:paraId="0165E061" w14:textId="77777777" w:rsidTr="004C2053">
        <w:trPr>
          <w:trHeight w:val="360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785D8F05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844B0B2" w14:textId="6B2BE5E6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E3B7C7F" w14:textId="0E1F888B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B23FA31" w14:textId="6AC5E3D5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7E41EC69" w14:textId="44C24A14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2176457" w14:textId="6CA0CA17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6714289" w14:textId="6F75B29D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2124EF3" w14:textId="11521E35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36B7733" w14:textId="165DA3C2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CC8BED6" w14:textId="21600E6A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C4DF362" w14:textId="7D15B02D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57EAFB2" w14:textId="4414ACFA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57AC74B" w14:textId="683CCB9C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423C6515" w14:textId="7F5C02E0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2827293D" w14:textId="07E7381A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65F741BB" w14:textId="77777777" w:rsidTr="004C2053">
        <w:trPr>
          <w:trHeight w:val="357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3C5DAD33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0CA4DB3" w14:textId="3EA40A3E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C13BEF8" w14:textId="584087BC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C91FC26" w14:textId="77782C18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782FF4B" w14:textId="7396B3AF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788B0A6" w14:textId="7C30B4D8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1ED7FF6" w14:textId="6B10BD07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F52C7ED" w14:textId="52CF0572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5CC947C" w14:textId="2183A7F4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469142A" w14:textId="61EB78BC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E377529" w14:textId="5FD0A233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09680EF" w14:textId="6CAA6424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31259C6" w14:textId="1F1E68E2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20ADE24" w14:textId="5A08CFF2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48DD1EE6" w14:textId="7B5A80B6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7A68" w:rsidRPr="008B4FE6" w14:paraId="5B3C8A8A" w14:textId="77777777" w:rsidTr="004C2053">
        <w:trPr>
          <w:trHeight w:val="357"/>
        </w:trPr>
        <w:tc>
          <w:tcPr>
            <w:tcW w:w="4101" w:type="dxa"/>
            <w:gridSpan w:val="4"/>
            <w:shd w:val="clear" w:color="auto" w:fill="FFFFFF"/>
            <w:vAlign w:val="center"/>
          </w:tcPr>
          <w:p w14:paraId="580B0841" w14:textId="77777777" w:rsidR="004C2053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205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pozostałe jednostki </w:t>
            </w:r>
          </w:p>
          <w:p w14:paraId="59A19D84" w14:textId="3A488107" w:rsidR="005016B8" w:rsidRPr="00C53F26" w:rsidRDefault="004C2053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2053">
              <w:rPr>
                <w:rFonts w:ascii="Times New Roman" w:hAnsi="Times New Roman"/>
                <w:color w:val="000000"/>
                <w:sz w:val="21"/>
                <w:szCs w:val="21"/>
              </w:rPr>
              <w:t>(FUNDUSZ WSPIERANIA ROZWOJU SPOŁECZEŃSTWA OBYWATELSKIEGO)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824B117" w14:textId="351F958D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2AA748F" w14:textId="2EB2A574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0464415" w14:textId="593E4FF6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22AE7A99" w14:textId="7EBD8B9A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1AA2166E" w14:textId="0818B916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7432977" w14:textId="19CF0593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469A9A37" w14:textId="0E32A2BB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341AFD9B" w14:textId="08F10E1C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0A80040B" w14:textId="14EDA6F4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6C27E094" w14:textId="3F4E7938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14:paraId="50DF6BA6" w14:textId="75FAB213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8395FA2" w14:textId="4D5DB260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C168292" w14:textId="5BD380B8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-45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2631B013" w14:textId="1EFCD7E8" w:rsidR="005016B8" w:rsidRPr="00B37C80" w:rsidRDefault="004C2053" w:rsidP="00CC0C6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-585</w:t>
            </w:r>
          </w:p>
        </w:tc>
      </w:tr>
      <w:tr w:rsidR="005016B8" w:rsidRPr="008B4FE6" w14:paraId="5E1FBC1F" w14:textId="77777777" w:rsidTr="004C2053">
        <w:trPr>
          <w:trHeight w:val="348"/>
        </w:trPr>
        <w:tc>
          <w:tcPr>
            <w:tcW w:w="4110" w:type="dxa"/>
            <w:gridSpan w:val="5"/>
            <w:shd w:val="clear" w:color="auto" w:fill="FFFFFF"/>
            <w:vAlign w:val="center"/>
          </w:tcPr>
          <w:p w14:paraId="3C9BAE78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11057" w:type="dxa"/>
            <w:gridSpan w:val="27"/>
            <w:shd w:val="clear" w:color="auto" w:fill="FFFFFF"/>
          </w:tcPr>
          <w:p w14:paraId="472E62BB" w14:textId="77777777" w:rsidR="005016B8" w:rsidRDefault="005016B8" w:rsidP="00A37FB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C3051">
              <w:rPr>
                <w:rFonts w:ascii="Times New Roman" w:hAnsi="Times New Roman"/>
              </w:rPr>
              <w:t>Realizacja Programu finansowana będzie z krajowych środków publicznych w ramach Funduszu Wspierania Rozwoju Społeczeństwa Obywatelskiego utworzonego na podstawie art. 88a ustawy z dnia 19 listopada 2009 r. o grach hazardowych, którego dysponentem jest Przewodniczący Komitetu do spraw Pożytku Publicznego. Zg</w:t>
            </w:r>
            <w:r w:rsidR="00DA7A68">
              <w:rPr>
                <w:rFonts w:ascii="Times New Roman" w:hAnsi="Times New Roman"/>
              </w:rPr>
              <w:t xml:space="preserve">odnie z nowelizacją ww. ustawy </w:t>
            </w:r>
            <w:r w:rsidRPr="009C3051">
              <w:rPr>
                <w:rFonts w:ascii="Times New Roman" w:hAnsi="Times New Roman"/>
              </w:rPr>
              <w:t xml:space="preserve">z </w:t>
            </w:r>
            <w:r w:rsidRPr="009C3051">
              <w:rPr>
                <w:rFonts w:ascii="Times New Roman" w:hAnsi="Times New Roman"/>
              </w:rPr>
              <w:lastRenderedPageBreak/>
              <w:t>dnia 15 grudnia 2016 r., przychodem Funduszu Wspierania Rozwoju Społeczeństwa Obywatelskiego jest 4% wpływów z dopłat z gier objętych monopolem państwa.</w:t>
            </w:r>
          </w:p>
          <w:p w14:paraId="2C1FE1A2" w14:textId="32B76078" w:rsidR="00EC19C2" w:rsidRPr="00B37C80" w:rsidRDefault="00EC19C2" w:rsidP="00212F7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color w:val="000000"/>
              </w:rPr>
              <w:t>Koszty obsługi Programu w zakresie wynagrodzeń pracowników biura</w:t>
            </w:r>
            <w:r w:rsidR="00212F77">
              <w:rPr>
                <w:rFonts w:ascii="Times New Roman" w:hAnsi="Times New Roman"/>
                <w:color w:val="000000"/>
              </w:rPr>
              <w:t xml:space="preserve"> </w:t>
            </w:r>
            <w:r w:rsidRPr="003665A6">
              <w:rPr>
                <w:rFonts w:ascii="Times New Roman" w:hAnsi="Times New Roman"/>
                <w:color w:val="000000"/>
              </w:rPr>
              <w:t>– pracowników NIW</w:t>
            </w:r>
            <w:r w:rsidR="00835F02">
              <w:rPr>
                <w:rFonts w:ascii="Times New Roman" w:hAnsi="Times New Roman"/>
                <w:color w:val="000000"/>
              </w:rPr>
              <w:t>-CRSO</w:t>
            </w:r>
            <w:r w:rsidRPr="003665A6">
              <w:rPr>
                <w:rFonts w:ascii="Times New Roman" w:hAnsi="Times New Roman"/>
                <w:color w:val="000000"/>
              </w:rPr>
              <w:t>, finansowane będą ze środków budżetu państwa w ramach dotacji podmiotowej dla NIW</w:t>
            </w:r>
            <w:r w:rsidR="006E38E4">
              <w:rPr>
                <w:rFonts w:ascii="Times New Roman" w:hAnsi="Times New Roman"/>
                <w:color w:val="000000"/>
              </w:rPr>
              <w:t>-CRSO</w:t>
            </w:r>
            <w:r w:rsidRPr="003665A6">
              <w:rPr>
                <w:rFonts w:ascii="Times New Roman" w:hAnsi="Times New Roman"/>
                <w:color w:val="000000"/>
              </w:rPr>
              <w:t xml:space="preserve"> (art. 32 pkt 2 UoNIW). W latach 2018-2030 na ten cel zaplanowano </w:t>
            </w:r>
            <w:r w:rsidR="006807DA">
              <w:rPr>
                <w:rFonts w:ascii="Times New Roman" w:hAnsi="Times New Roman"/>
                <w:color w:val="000000"/>
              </w:rPr>
              <w:t>ogółem 14 086 tys. zł, w tym w 2018 r. – 562 tys. zł oraz w latach 2019-2030 po 1 127 tys. zł w każdym roku wdrażania Programu</w:t>
            </w:r>
            <w:r w:rsidR="00212F77">
              <w:rPr>
                <w:rFonts w:ascii="Times New Roman" w:hAnsi="Times New Roman"/>
                <w:color w:val="000000"/>
              </w:rPr>
              <w:t>.</w:t>
            </w:r>
            <w:r w:rsidR="006807DA">
              <w:rPr>
                <w:rFonts w:ascii="Times New Roman" w:hAnsi="Times New Roman"/>
                <w:color w:val="000000"/>
              </w:rPr>
              <w:t xml:space="preserve"> </w:t>
            </w:r>
            <w:r w:rsidRPr="003665A6">
              <w:rPr>
                <w:rFonts w:ascii="Times New Roman" w:hAnsi="Times New Roman"/>
                <w:color w:val="000000"/>
              </w:rPr>
              <w:t>Środki te zostały uwzględnione w Projekcie ustawy o zmianie ustawy o Narodowym Instytucie Wolności – Centrum Rozwoju Społeczeństwa Obywatelskiego przyjętym w trybie o</w:t>
            </w:r>
            <w:r w:rsidR="00B22195">
              <w:rPr>
                <w:rFonts w:ascii="Times New Roman" w:hAnsi="Times New Roman"/>
                <w:color w:val="000000"/>
              </w:rPr>
              <w:t>biegowym przez Radę Ministrów w </w:t>
            </w:r>
            <w:r w:rsidRPr="003665A6">
              <w:rPr>
                <w:rFonts w:ascii="Times New Roman" w:hAnsi="Times New Roman"/>
                <w:color w:val="000000"/>
              </w:rPr>
              <w:t>dniu 21 maja 2018 r.</w:t>
            </w:r>
          </w:p>
        </w:tc>
      </w:tr>
      <w:tr w:rsidR="005016B8" w:rsidRPr="008B4FE6" w14:paraId="2E85C15D" w14:textId="77777777" w:rsidTr="004C2053">
        <w:trPr>
          <w:trHeight w:val="898"/>
        </w:trPr>
        <w:tc>
          <w:tcPr>
            <w:tcW w:w="4110" w:type="dxa"/>
            <w:gridSpan w:val="5"/>
            <w:shd w:val="clear" w:color="auto" w:fill="FFFFFF"/>
          </w:tcPr>
          <w:p w14:paraId="0280DAEA" w14:textId="77777777" w:rsidR="005016B8" w:rsidRPr="00C53F26" w:rsidRDefault="005016B8" w:rsidP="009027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11057" w:type="dxa"/>
            <w:gridSpan w:val="27"/>
            <w:shd w:val="clear" w:color="auto" w:fill="FFFFFF"/>
          </w:tcPr>
          <w:p w14:paraId="3472D345" w14:textId="77777777" w:rsidR="006807DA" w:rsidRPr="00384EE7" w:rsidRDefault="005016B8" w:rsidP="00A37FB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4C2053">
              <w:rPr>
                <w:rFonts w:ascii="Times New Roman" w:hAnsi="Times New Roman"/>
                <w:color w:val="000000"/>
              </w:rPr>
              <w:t xml:space="preserve">W </w:t>
            </w:r>
            <w:r w:rsidRPr="00384EE7">
              <w:rPr>
                <w:rFonts w:ascii="Times New Roman" w:hAnsi="Times New Roman"/>
                <w:color w:val="000000"/>
              </w:rPr>
              <w:t xml:space="preserve">ramach Programu zaplanowano udzielanie bezzwrotnych dotacji celowych przeznaczonych na rozwój instytucjonalny organizacji, zgodnie z ustawą z dnia 27 sierpnia 2009 r. o finansach publicznych (Dz.U. z 2017 poz. 2077, z późn. zm.). </w:t>
            </w:r>
          </w:p>
          <w:p w14:paraId="245AFAD5" w14:textId="055A31A7" w:rsidR="005016B8" w:rsidRPr="00384EE7" w:rsidRDefault="006807DA" w:rsidP="00A37FB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W latach 2018-2030 z</w:t>
            </w:r>
            <w:r w:rsidR="005016B8" w:rsidRPr="00384EE7">
              <w:rPr>
                <w:rFonts w:ascii="Times New Roman" w:hAnsi="Times New Roman"/>
                <w:color w:val="000000"/>
              </w:rPr>
              <w:t xml:space="preserve">aplanowano </w:t>
            </w:r>
            <w:r w:rsidRPr="00384EE7">
              <w:rPr>
                <w:rFonts w:ascii="Times New Roman" w:hAnsi="Times New Roman"/>
                <w:color w:val="000000"/>
              </w:rPr>
              <w:t xml:space="preserve">środki na dotacje w ramach następujących form </w:t>
            </w:r>
            <w:r w:rsidR="005016B8" w:rsidRPr="00384EE7">
              <w:rPr>
                <w:rFonts w:ascii="Times New Roman" w:hAnsi="Times New Roman"/>
                <w:color w:val="000000"/>
              </w:rPr>
              <w:t>wsparcia:</w:t>
            </w:r>
          </w:p>
          <w:p w14:paraId="57B1B4E5" w14:textId="7256CF11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1a Wsparcie działań misyjnych i rozwoju instytucjonalnego</w:t>
            </w:r>
            <w:r w:rsidR="00DA7A68" w:rsidRPr="00384EE7">
              <w:rPr>
                <w:rFonts w:ascii="Times New Roman" w:hAnsi="Times New Roman"/>
                <w:color w:val="000000"/>
              </w:rPr>
              <w:t xml:space="preserve"> – ogółem 314,55 mln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700 tys. zł;</w:t>
            </w:r>
          </w:p>
          <w:p w14:paraId="542535C4" w14:textId="6FC00921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1b Dotacje na wkład własny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21,60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</w:t>
            </w:r>
            <w:r w:rsidR="00AA6B28" w:rsidRPr="00384EE7">
              <w:rPr>
                <w:rFonts w:ascii="Times New Roman" w:hAnsi="Times New Roman"/>
                <w:color w:val="000000"/>
              </w:rPr>
              <w:t>symalna wysokość dotacji na </w:t>
            </w:r>
            <w:r w:rsidRPr="00384EE7">
              <w:rPr>
                <w:rFonts w:ascii="Times New Roman" w:hAnsi="Times New Roman"/>
                <w:color w:val="000000"/>
              </w:rPr>
              <w:t>poziomie 500 000 tys. zł;</w:t>
            </w:r>
          </w:p>
          <w:p w14:paraId="54FBA998" w14:textId="20693C81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2a Dotacje operacyjne na wsparcie budowania początkowych kapitałów żelaznych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58,50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500 000 tys. zł;</w:t>
            </w:r>
          </w:p>
          <w:p w14:paraId="5F42E819" w14:textId="3B0A433D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2b Dofinansowanie początkowych kapitałów żelaznych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27,90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350 000 tys. zł;</w:t>
            </w:r>
          </w:p>
          <w:p w14:paraId="3493D5FD" w14:textId="0042DA30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2c Dofinansowanie rozbudowy kapitałów żelaznych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22,05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350 000 tys. zł;</w:t>
            </w:r>
          </w:p>
          <w:p w14:paraId="58CF1A3D" w14:textId="477C81F5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3 Rozwój instytucjonalny organizacji strażniczych i mediów obywatelskich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46,80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200 000 tys. zł;</w:t>
            </w:r>
          </w:p>
          <w:p w14:paraId="3BD389F3" w14:textId="25FEC366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4 Rozwój instytucjonalny think tanków obywatelskich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46,80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500 000 tys. zł;</w:t>
            </w:r>
          </w:p>
          <w:p w14:paraId="27815EA0" w14:textId="5B831C6D" w:rsidR="005016B8" w:rsidRPr="00384EE7" w:rsidRDefault="005016B8" w:rsidP="00A37FBC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Priorytet 5 Wsparcie doraźne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 – ogółem 23,40 mln zł</w:t>
            </w:r>
            <w:r w:rsidR="004C2053" w:rsidRPr="00384EE7">
              <w:rPr>
                <w:rFonts w:ascii="Times New Roman" w:hAnsi="Times New Roman"/>
                <w:color w:val="000000"/>
              </w:rPr>
              <w:t xml:space="preserve">, </w:t>
            </w:r>
            <w:r w:rsidR="00EC19C2" w:rsidRPr="00384EE7">
              <w:rPr>
                <w:rFonts w:ascii="Times New Roman" w:hAnsi="Times New Roman"/>
                <w:color w:val="000000"/>
              </w:rPr>
              <w:t>s</w:t>
            </w:r>
            <w:r w:rsidRPr="00384EE7">
              <w:rPr>
                <w:rFonts w:ascii="Times New Roman" w:hAnsi="Times New Roman"/>
                <w:color w:val="000000"/>
              </w:rPr>
              <w:t>zacunkowa maksymalna wysokość dotacji na poziomie 10 000 tys. zł.</w:t>
            </w:r>
          </w:p>
          <w:p w14:paraId="2917E715" w14:textId="6F939132" w:rsidR="005016B8" w:rsidRPr="00384EE7" w:rsidRDefault="00924508" w:rsidP="00A37FB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lastRenderedPageBreak/>
              <w:t>Ponadto</w:t>
            </w:r>
            <w:r w:rsidR="005016B8" w:rsidRPr="00384EE7">
              <w:rPr>
                <w:rFonts w:ascii="Times New Roman" w:hAnsi="Times New Roman"/>
                <w:color w:val="000000"/>
              </w:rPr>
              <w:t xml:space="preserve"> w ramach Programu 4% wartości środków </w:t>
            </w:r>
            <w:r w:rsidR="00EC19C2" w:rsidRPr="00384EE7">
              <w:rPr>
                <w:rFonts w:ascii="Times New Roman" w:hAnsi="Times New Roman"/>
                <w:color w:val="000000"/>
              </w:rPr>
              <w:t xml:space="preserve">(ogółem w latach 2018-2030 – 23,40 mln zł) </w:t>
            </w:r>
            <w:r w:rsidR="005016B8" w:rsidRPr="00384EE7">
              <w:rPr>
                <w:rFonts w:ascii="Times New Roman" w:hAnsi="Times New Roman"/>
                <w:color w:val="000000"/>
              </w:rPr>
              <w:t>zostanie przeznaczonych na finansowanie działań związanych z pomocą techniczną (Priorytet 6). Wydatki w ramach pomocy technicznej będą przeznaczone przede wszystkim na finansowanie działań związanych z:</w:t>
            </w:r>
          </w:p>
          <w:p w14:paraId="1508EAFF" w14:textId="0265DF9C" w:rsidR="005016B8" w:rsidRPr="00384EE7" w:rsidRDefault="005016B8" w:rsidP="00A37FBC">
            <w:pPr>
              <w:pStyle w:val="Akapitzlist"/>
              <w:numPr>
                <w:ilvl w:val="0"/>
                <w:numId w:val="32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zapewnienie</w:t>
            </w:r>
            <w:r w:rsidR="00EC19C2" w:rsidRPr="00384EE7">
              <w:rPr>
                <w:rFonts w:ascii="Times New Roman" w:hAnsi="Times New Roman"/>
                <w:color w:val="000000"/>
              </w:rPr>
              <w:t>m</w:t>
            </w:r>
            <w:r w:rsidRPr="00384EE7">
              <w:rPr>
                <w:rFonts w:ascii="Times New Roman" w:hAnsi="Times New Roman"/>
                <w:color w:val="000000"/>
              </w:rPr>
              <w:t xml:space="preserve"> technicznego i finansowego wsparcia procesów oceny wniosków o dotacje </w:t>
            </w:r>
            <w:r w:rsidRPr="00384EE7">
              <w:rPr>
                <w:rFonts w:ascii="Times New Roman" w:hAnsi="Times New Roman"/>
                <w:color w:val="000000"/>
              </w:rPr>
              <w:br/>
              <w:t>(w tym zapewnienie ekspertów, których zadaniem będzie ocena merytoryczna wniosków w ramach konkursów prowadzonych w ramach poszczególnych priorytetów Programu),</w:t>
            </w:r>
          </w:p>
          <w:p w14:paraId="122BEE5D" w14:textId="4024367B" w:rsidR="005016B8" w:rsidRPr="00384EE7" w:rsidRDefault="00EC19C2" w:rsidP="00A37FBC">
            <w:pPr>
              <w:pStyle w:val="Akapitzlist"/>
              <w:numPr>
                <w:ilvl w:val="0"/>
                <w:numId w:val="32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384EE7">
              <w:rPr>
                <w:rFonts w:ascii="Times New Roman" w:hAnsi="Times New Roman"/>
                <w:color w:val="000000"/>
              </w:rPr>
              <w:t>realizacją</w:t>
            </w:r>
            <w:r w:rsidR="005016B8" w:rsidRPr="00384EE7">
              <w:rPr>
                <w:rFonts w:ascii="Times New Roman" w:hAnsi="Times New Roman"/>
                <w:color w:val="000000"/>
              </w:rPr>
              <w:t xml:space="preserve"> działań komunikacyjnych informacyjnych i promocyjnych dotyczących wsparcia udzielanego w ramach Programu na poziomie krajowym (w szczególności komunikowanie</w:t>
            </w:r>
            <w:r w:rsidRPr="00384EE7">
              <w:rPr>
                <w:rFonts w:ascii="Times New Roman" w:hAnsi="Times New Roman"/>
                <w:color w:val="000000"/>
              </w:rPr>
              <w:t>m</w:t>
            </w:r>
            <w:r w:rsidR="005016B8" w:rsidRPr="00384EE7">
              <w:rPr>
                <w:rFonts w:ascii="Times New Roman" w:hAnsi="Times New Roman"/>
                <w:color w:val="000000"/>
              </w:rPr>
              <w:t xml:space="preserve"> możliwości uzyskania wsparcia organizacjom działającym lokalnie, w tym na terenach wiejskich i w małych miastach),</w:t>
            </w:r>
          </w:p>
          <w:p w14:paraId="3A642254" w14:textId="484AD165" w:rsidR="005016B8" w:rsidRPr="004C2053" w:rsidRDefault="005016B8" w:rsidP="00A37FBC">
            <w:pPr>
              <w:pStyle w:val="Akapitzlist"/>
              <w:numPr>
                <w:ilvl w:val="0"/>
                <w:numId w:val="32"/>
              </w:numPr>
              <w:spacing w:before="120" w:after="120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4EE7">
              <w:rPr>
                <w:rFonts w:ascii="Times New Roman" w:hAnsi="Times New Roman"/>
                <w:color w:val="000000"/>
              </w:rPr>
              <w:t>zapewnienie</w:t>
            </w:r>
            <w:r w:rsidR="00EC19C2" w:rsidRPr="00384EE7">
              <w:rPr>
                <w:rFonts w:ascii="Times New Roman" w:hAnsi="Times New Roman"/>
                <w:color w:val="000000"/>
              </w:rPr>
              <w:t>m</w:t>
            </w:r>
            <w:r w:rsidRPr="00384EE7">
              <w:rPr>
                <w:rFonts w:ascii="Times New Roman" w:hAnsi="Times New Roman"/>
                <w:color w:val="000000"/>
              </w:rPr>
              <w:t xml:space="preserve"> ewaluacji, monitoringu oraz audytu dotacji udzielanych w ramach Programu.</w:t>
            </w:r>
          </w:p>
        </w:tc>
      </w:tr>
      <w:tr w:rsidR="00DA7A68" w:rsidRPr="008B4FE6" w14:paraId="044C2F91" w14:textId="77777777" w:rsidTr="004C20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167" w:type="dxa"/>
            <w:gridSpan w:val="32"/>
            <w:shd w:val="clear" w:color="auto" w:fill="99CCFF"/>
          </w:tcPr>
          <w:p w14:paraId="097C6570" w14:textId="77777777" w:rsidR="00DA7A68" w:rsidRPr="008B4FE6" w:rsidRDefault="00DA7A68" w:rsidP="00DA7A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A7A68" w:rsidRPr="008B4FE6" w14:paraId="401F415A" w14:textId="77777777" w:rsidTr="004C205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5167" w:type="dxa"/>
            <w:gridSpan w:val="32"/>
            <w:shd w:val="clear" w:color="auto" w:fill="FFFFFF"/>
          </w:tcPr>
          <w:p w14:paraId="79C971CA" w14:textId="77777777" w:rsidR="00DA7A68" w:rsidRPr="003665A6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665A6">
              <w:rPr>
                <w:rFonts w:ascii="Times New Roman" w:hAnsi="Times New Roman"/>
                <w:b/>
                <w:color w:val="000000"/>
                <w:spacing w:val="-2"/>
              </w:rPr>
              <w:t>Skutki</w:t>
            </w:r>
          </w:p>
        </w:tc>
      </w:tr>
      <w:tr w:rsidR="00DA7A68" w:rsidRPr="008B4FE6" w14:paraId="719A0F8E" w14:textId="77777777" w:rsidTr="004C20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64" w:type="dxa"/>
            <w:gridSpan w:val="3"/>
            <w:shd w:val="clear" w:color="auto" w:fill="FFFFFF"/>
            <w:vAlign w:val="center"/>
          </w:tcPr>
          <w:p w14:paraId="0A1AF3FD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9" w:type="dxa"/>
            <w:gridSpan w:val="3"/>
            <w:shd w:val="clear" w:color="auto" w:fill="FFFFFF"/>
            <w:vAlign w:val="center"/>
          </w:tcPr>
          <w:p w14:paraId="470EDFAA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0A763C9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14:paraId="50ABE67E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DB64CC2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14:paraId="05AB9847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FDA18E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72B7C2E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47E85F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3AA6180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6B2EF0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CF472F2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8EA8BDF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04E1AC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3665A6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0B526066" w14:textId="77777777" w:rsidR="00DA7A68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665A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Łącznie</w:t>
            </w:r>
            <w:r w:rsidRPr="003665A6" w:rsidDel="0073273A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248E585" w14:textId="77777777" w:rsidR="00DA7A68" w:rsidRPr="003665A6" w:rsidRDefault="00DA7A68" w:rsidP="00CF5D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665A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(0-12)</w:t>
            </w:r>
          </w:p>
        </w:tc>
      </w:tr>
      <w:tr w:rsidR="00DA7A68" w:rsidRPr="008B4FE6" w14:paraId="562FCFC6" w14:textId="77777777" w:rsidTr="004C2053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579" w:type="dxa"/>
            <w:vMerge w:val="restart"/>
            <w:shd w:val="clear" w:color="auto" w:fill="FFFFFF"/>
          </w:tcPr>
          <w:p w14:paraId="3E53BE89" w14:textId="77777777" w:rsidR="00DA7A68" w:rsidRDefault="00DA7A68" w:rsidP="00CF5D27">
            <w:pPr>
              <w:spacing w:before="120" w:after="1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DC162AA" w14:textId="77777777" w:rsidR="00DA7A68" w:rsidRDefault="00DA7A68" w:rsidP="00CF5D27">
            <w:pPr>
              <w:spacing w:before="120" w:after="12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EF2E5E0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5" w:type="dxa"/>
            <w:gridSpan w:val="2"/>
            <w:shd w:val="clear" w:color="auto" w:fill="FFFFFF"/>
          </w:tcPr>
          <w:p w14:paraId="7769C592" w14:textId="77777777" w:rsidR="00DA7A68" w:rsidRPr="007F55E3" w:rsidRDefault="00DA7A68" w:rsidP="00CF5D27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F55E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duże przedsiębiorstwa</w:t>
            </w:r>
          </w:p>
          <w:p w14:paraId="2FCD7457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7F502A5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6B6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9" w:type="dxa"/>
            <w:gridSpan w:val="3"/>
            <w:shd w:val="clear" w:color="auto" w:fill="FFFFFF"/>
            <w:vAlign w:val="center"/>
          </w:tcPr>
          <w:p w14:paraId="0D737A5E" w14:textId="36076DE5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22A1662" w14:textId="1998C597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14:paraId="43A963DA" w14:textId="0E9FD0C4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4686927" w14:textId="6A3D5024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14:paraId="4496D788" w14:textId="3A5F52A1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9D7587E" w14:textId="4AA99AF2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56ABCAF" w14:textId="55F44FFC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AD5300E" w14:textId="04E4BEAB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A188EB" w14:textId="5CE1DE5A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30E4E34" w14:textId="0BA1E7CF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DAE886" w14:textId="7CD47F6A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7172908" w14:textId="2FDF8127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8DF543" w14:textId="6C3877C7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1,8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270717FB" w14:textId="161F7485" w:rsidR="00DA7A68" w:rsidRPr="006E0D3C" w:rsidRDefault="00384EE7" w:rsidP="00CF5D2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23,40</w:t>
            </w:r>
          </w:p>
        </w:tc>
      </w:tr>
      <w:tr w:rsidR="00DA7A68" w:rsidRPr="008B4FE6" w14:paraId="56575144" w14:textId="77777777" w:rsidTr="004C205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579" w:type="dxa"/>
            <w:vMerge/>
            <w:shd w:val="clear" w:color="auto" w:fill="FFFFFF"/>
          </w:tcPr>
          <w:p w14:paraId="0342C5BC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auto" w:fill="FFFFFF"/>
          </w:tcPr>
          <w:p w14:paraId="33A878DE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9" w:type="dxa"/>
            <w:gridSpan w:val="3"/>
            <w:shd w:val="clear" w:color="auto" w:fill="FFFFFF"/>
          </w:tcPr>
          <w:p w14:paraId="61319FA3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7C60987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/>
          </w:tcPr>
          <w:p w14:paraId="13686DAB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843E2A2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14:paraId="4F5A2C74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168428B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7CDB79F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A0A2289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1DB9818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0669EA5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BE0F62E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0514589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8E57827" w14:textId="77777777" w:rsidR="00DA7A68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63F52C6" w14:textId="77777777" w:rsidR="00DA7A68" w:rsidRPr="00B37C80" w:rsidRDefault="00DA7A68" w:rsidP="00CF5D2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A7A68" w:rsidRPr="008B4FE6" w14:paraId="166864C9" w14:textId="77777777" w:rsidTr="004C205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79" w:type="dxa"/>
            <w:vMerge w:val="restart"/>
            <w:shd w:val="clear" w:color="auto" w:fill="FFFFFF"/>
          </w:tcPr>
          <w:p w14:paraId="6ED587A6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5" w:type="dxa"/>
            <w:gridSpan w:val="2"/>
            <w:shd w:val="clear" w:color="auto" w:fill="FFFFFF"/>
          </w:tcPr>
          <w:p w14:paraId="10C1E55E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1303" w:type="dxa"/>
            <w:gridSpan w:val="29"/>
            <w:shd w:val="clear" w:color="auto" w:fill="FFFFFF"/>
          </w:tcPr>
          <w:p w14:paraId="7988F693" w14:textId="77777777" w:rsidR="00DA7A68" w:rsidRPr="00B37C80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 dotyczy </w:t>
            </w:r>
          </w:p>
        </w:tc>
      </w:tr>
      <w:tr w:rsidR="00DA7A68" w:rsidRPr="008B4FE6" w14:paraId="2C675E2F" w14:textId="77777777" w:rsidTr="004C205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579" w:type="dxa"/>
            <w:vMerge/>
            <w:shd w:val="clear" w:color="auto" w:fill="FFFFFF"/>
          </w:tcPr>
          <w:p w14:paraId="3DEF1E67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auto" w:fill="FFFFFF"/>
          </w:tcPr>
          <w:p w14:paraId="196E35C7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1303" w:type="dxa"/>
            <w:gridSpan w:val="29"/>
            <w:shd w:val="clear" w:color="auto" w:fill="FFFFFF"/>
          </w:tcPr>
          <w:p w14:paraId="3411DD66" w14:textId="77777777" w:rsidR="00DA7A68" w:rsidRPr="00B37C80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DA7A68" w:rsidRPr="008B4FE6" w14:paraId="27529321" w14:textId="77777777" w:rsidTr="004C205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579" w:type="dxa"/>
            <w:vMerge/>
            <w:shd w:val="clear" w:color="auto" w:fill="FFFFFF"/>
          </w:tcPr>
          <w:p w14:paraId="1494F988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auto" w:fill="FFFFFF"/>
          </w:tcPr>
          <w:p w14:paraId="3235A2AF" w14:textId="77777777" w:rsidR="00DA7A68" w:rsidRPr="00301959" w:rsidRDefault="00DA7A68" w:rsidP="00CF5D27">
            <w:pPr>
              <w:tabs>
                <w:tab w:val="right" w:pos="1936"/>
              </w:tabs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03" w:type="dxa"/>
            <w:gridSpan w:val="29"/>
            <w:shd w:val="clear" w:color="auto" w:fill="FFFFFF"/>
          </w:tcPr>
          <w:p w14:paraId="4EAEE9F7" w14:textId="77777777" w:rsidR="00DA7A68" w:rsidRPr="00B37C80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DA7A68" w:rsidRPr="008B4FE6" w14:paraId="71539270" w14:textId="77777777" w:rsidTr="004C205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579" w:type="dxa"/>
            <w:shd w:val="clear" w:color="auto" w:fill="FFFFFF"/>
          </w:tcPr>
          <w:p w14:paraId="25E33022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5" w:type="dxa"/>
            <w:gridSpan w:val="2"/>
            <w:shd w:val="clear" w:color="auto" w:fill="FFFFFF"/>
          </w:tcPr>
          <w:p w14:paraId="17BA4559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1303" w:type="dxa"/>
            <w:gridSpan w:val="29"/>
            <w:shd w:val="clear" w:color="auto" w:fill="FFFFFF"/>
          </w:tcPr>
          <w:p w14:paraId="60031543" w14:textId="77777777" w:rsidR="00DA7A68" w:rsidRPr="00B37C80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DA7A68" w:rsidRPr="008B4FE6" w14:paraId="018B1943" w14:textId="77777777" w:rsidTr="004C2053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2219" w:type="dxa"/>
            <w:gridSpan w:val="2"/>
            <w:shd w:val="clear" w:color="auto" w:fill="FFFFFF"/>
          </w:tcPr>
          <w:p w14:paraId="2E25D07E" w14:textId="77777777" w:rsidR="00DA7A68" w:rsidRPr="00301959" w:rsidRDefault="00DA7A68" w:rsidP="00CF5D2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12948" w:type="dxa"/>
            <w:gridSpan w:val="30"/>
            <w:shd w:val="clear" w:color="auto" w:fill="FFFFFF"/>
            <w:vAlign w:val="center"/>
          </w:tcPr>
          <w:p w14:paraId="2CBC54A8" w14:textId="120B3E6A" w:rsidR="00DA7A68" w:rsidRDefault="00DA7A68" w:rsidP="004C20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1861">
              <w:rPr>
                <w:rFonts w:ascii="Times New Roman" w:hAnsi="Times New Roman"/>
                <w:color w:val="000000"/>
              </w:rPr>
              <w:t>Uchwała wpłynie bezpośrednio na wzmocnienie organizacji pozarządowych w związku z uruchomieniem nowego, systemowego mechanizmu finansowania rozwoju instytucjo</w:t>
            </w:r>
            <w:r w:rsidR="00384EE7" w:rsidRPr="00E11861">
              <w:rPr>
                <w:rFonts w:ascii="Times New Roman" w:hAnsi="Times New Roman"/>
                <w:color w:val="000000"/>
              </w:rPr>
              <w:t>nalnego i działalności misyjnej (wpływ uchwały na sektor społeczeństwa obywatelskiego został wskazany w pkt 10 formularza OSR).</w:t>
            </w:r>
          </w:p>
          <w:p w14:paraId="7BBC4AB6" w14:textId="27D5AC15" w:rsidR="00384EE7" w:rsidRPr="00501D3B" w:rsidRDefault="00384EE7" w:rsidP="004C20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Wejście w życie projektu uchwały Rady Ministrów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może mieć wpływ </w:t>
            </w:r>
            <w:r w:rsidRPr="00D51B95">
              <w:rPr>
                <w:rFonts w:ascii="Times New Roman" w:hAnsi="Times New Roman"/>
                <w:color w:val="000000"/>
                <w:sz w:val="24"/>
                <w:szCs w:val="24"/>
              </w:rPr>
              <w:t>na MŚP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sektor dużych przedsiębiorstw, w postaci </w:t>
            </w:r>
            <w:r w:rsidR="0086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ewentualnego 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zakupu usług przez NIW- CRSO na wsparcie wykonania działań zaplanowanych w programie.  </w:t>
            </w:r>
          </w:p>
        </w:tc>
      </w:tr>
    </w:tbl>
    <w:p w14:paraId="4534FF63" w14:textId="77777777" w:rsidR="00DA7A68" w:rsidRDefault="00DA7A68">
      <w:r>
        <w:br w:type="page"/>
      </w:r>
    </w:p>
    <w:p w14:paraId="46952BB5" w14:textId="77777777" w:rsidR="00DA7A68" w:rsidRDefault="00DA7A68" w:rsidP="009027F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color w:val="000000"/>
          <w:spacing w:val="-2"/>
        </w:rPr>
        <w:sectPr w:rsidR="00DA7A68" w:rsidSect="00772ED0">
          <w:pgSz w:w="16838" w:h="11906" w:orient="landscape"/>
          <w:pgMar w:top="720" w:right="568" w:bottom="707" w:left="568" w:header="708" w:footer="290" w:gutter="0"/>
          <w:cols w:space="708"/>
          <w:docGrid w:linePitch="360"/>
        </w:sectPr>
      </w:pPr>
    </w:p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43"/>
        <w:gridCol w:w="1304"/>
        <w:gridCol w:w="1564"/>
        <w:gridCol w:w="2123"/>
        <w:gridCol w:w="3703"/>
      </w:tblGrid>
      <w:tr w:rsidR="00C734BB" w:rsidRPr="008B4FE6" w14:paraId="2885881D" w14:textId="77777777" w:rsidTr="00772ED0">
        <w:trPr>
          <w:trHeight w:val="342"/>
        </w:trPr>
        <w:tc>
          <w:tcPr>
            <w:tcW w:w="10937" w:type="dxa"/>
            <w:gridSpan w:val="5"/>
            <w:shd w:val="clear" w:color="auto" w:fill="99CCFF"/>
            <w:vAlign w:val="center"/>
          </w:tcPr>
          <w:p w14:paraId="196A9291" w14:textId="46592329" w:rsidR="00C734BB" w:rsidRPr="008B4FE6" w:rsidRDefault="00C734BB" w:rsidP="00C734BB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734BB" w:rsidRPr="008B4FE6" w14:paraId="5903C934" w14:textId="77777777" w:rsidTr="00772ED0">
        <w:trPr>
          <w:trHeight w:val="151"/>
        </w:trPr>
        <w:tc>
          <w:tcPr>
            <w:tcW w:w="10937" w:type="dxa"/>
            <w:gridSpan w:val="5"/>
            <w:shd w:val="clear" w:color="auto" w:fill="FFFFFF"/>
          </w:tcPr>
          <w:p w14:paraId="25C3864C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734BB" w:rsidRPr="008B4FE6" w14:paraId="253B2E60" w14:textId="77777777" w:rsidTr="00772ED0">
        <w:trPr>
          <w:trHeight w:val="946"/>
        </w:trPr>
        <w:tc>
          <w:tcPr>
            <w:tcW w:w="5111" w:type="dxa"/>
            <w:gridSpan w:val="3"/>
            <w:shd w:val="clear" w:color="auto" w:fill="FFFFFF"/>
          </w:tcPr>
          <w:p w14:paraId="014AC78E" w14:textId="77777777" w:rsidR="00C734BB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2"/>
            <w:shd w:val="clear" w:color="auto" w:fill="FFFFFF"/>
          </w:tcPr>
          <w:p w14:paraId="2CD64923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3C0802F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B026074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734BB" w:rsidRPr="008B4FE6" w14:paraId="5EEDBB14" w14:textId="77777777" w:rsidTr="00772ED0">
        <w:trPr>
          <w:trHeight w:val="1245"/>
        </w:trPr>
        <w:tc>
          <w:tcPr>
            <w:tcW w:w="5111" w:type="dxa"/>
            <w:gridSpan w:val="3"/>
            <w:shd w:val="clear" w:color="auto" w:fill="FFFFFF"/>
          </w:tcPr>
          <w:p w14:paraId="6A6EEE37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CB5AFEA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2A681F" w14:textId="77777777" w:rsidR="00C734BB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2E92501" w14:textId="77777777" w:rsidR="00C734BB" w:rsidRPr="008B4FE6" w:rsidRDefault="00C734BB" w:rsidP="00C734B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2"/>
            <w:shd w:val="clear" w:color="auto" w:fill="FFFFFF"/>
          </w:tcPr>
          <w:p w14:paraId="753D9CF5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7BB5E1C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A1642CB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30D51CB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107AFBD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734BB" w:rsidRPr="008B4FE6" w14:paraId="3C5A89A3" w14:textId="77777777" w:rsidTr="00772ED0">
        <w:trPr>
          <w:trHeight w:val="870"/>
        </w:trPr>
        <w:tc>
          <w:tcPr>
            <w:tcW w:w="5111" w:type="dxa"/>
            <w:gridSpan w:val="3"/>
            <w:shd w:val="clear" w:color="auto" w:fill="FFFFFF"/>
          </w:tcPr>
          <w:p w14:paraId="612ECACD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2"/>
            <w:shd w:val="clear" w:color="auto" w:fill="FFFFFF"/>
          </w:tcPr>
          <w:p w14:paraId="5B2700D3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2577D24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168836D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186D307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734BB" w:rsidRPr="008B4FE6" w14:paraId="3D44E474" w14:textId="77777777" w:rsidTr="00772ED0">
        <w:trPr>
          <w:trHeight w:val="630"/>
        </w:trPr>
        <w:tc>
          <w:tcPr>
            <w:tcW w:w="10937" w:type="dxa"/>
            <w:gridSpan w:val="5"/>
            <w:shd w:val="clear" w:color="auto" w:fill="FFFFFF"/>
          </w:tcPr>
          <w:p w14:paraId="785F00BD" w14:textId="77777777" w:rsidR="00C734BB" w:rsidRDefault="00C734BB" w:rsidP="00C734B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FAC3A49" w14:textId="77777777" w:rsidR="00C734BB" w:rsidRPr="008B4FE6" w:rsidRDefault="00C734BB" w:rsidP="00C734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734BB" w:rsidRPr="008B4FE6" w14:paraId="01F1092D" w14:textId="77777777" w:rsidTr="00772ED0">
        <w:trPr>
          <w:trHeight w:val="142"/>
        </w:trPr>
        <w:tc>
          <w:tcPr>
            <w:tcW w:w="10937" w:type="dxa"/>
            <w:gridSpan w:val="5"/>
            <w:shd w:val="clear" w:color="auto" w:fill="99CCFF"/>
          </w:tcPr>
          <w:p w14:paraId="16FCF934" w14:textId="77777777" w:rsidR="00C734BB" w:rsidRPr="008B4FE6" w:rsidRDefault="00C734BB" w:rsidP="0037285E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/>
              <w:ind w:left="460" w:hanging="4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734BB" w:rsidRPr="008B4FE6" w14:paraId="02DC65DE" w14:textId="77777777" w:rsidTr="00772ED0">
        <w:trPr>
          <w:trHeight w:val="142"/>
        </w:trPr>
        <w:tc>
          <w:tcPr>
            <w:tcW w:w="10937" w:type="dxa"/>
            <w:gridSpan w:val="5"/>
            <w:shd w:val="clear" w:color="auto" w:fill="auto"/>
          </w:tcPr>
          <w:p w14:paraId="16F9A930" w14:textId="77777777" w:rsidR="00C734BB" w:rsidRPr="008B4FE6" w:rsidRDefault="00C734BB" w:rsidP="004C2053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Wdrożenie Programu może pozytywnie oddziaływać na rynek pracy. Rozwój instytucjonalny organizacji pozarządowych obejmuje w szczególności wzmocnienie ich zasobów ludzkich, zarówno w kontekście zatrudnienia jak i zaangażowania wolontariuszy. Stąd z jednej strony można oczekiwać powstania nowych miejsc pracy, z drugiej trony wzmocnienia kapitału ludzkiego w wymiarze krajowym.</w:t>
            </w:r>
          </w:p>
        </w:tc>
      </w:tr>
      <w:tr w:rsidR="00C734BB" w:rsidRPr="008B4FE6" w14:paraId="1EFD191F" w14:textId="77777777" w:rsidTr="00772ED0">
        <w:trPr>
          <w:trHeight w:val="142"/>
        </w:trPr>
        <w:tc>
          <w:tcPr>
            <w:tcW w:w="10937" w:type="dxa"/>
            <w:gridSpan w:val="5"/>
            <w:shd w:val="clear" w:color="auto" w:fill="99CCFF"/>
          </w:tcPr>
          <w:p w14:paraId="5C3CAE71" w14:textId="77777777" w:rsidR="00C734BB" w:rsidRPr="008B4FE6" w:rsidRDefault="00C734BB" w:rsidP="0037285E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/>
              <w:ind w:left="460" w:hanging="4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734BB" w:rsidRPr="008B4FE6" w14:paraId="7F168455" w14:textId="77777777" w:rsidTr="00772ED0">
        <w:trPr>
          <w:trHeight w:val="820"/>
        </w:trPr>
        <w:tc>
          <w:tcPr>
            <w:tcW w:w="3547" w:type="dxa"/>
            <w:gridSpan w:val="2"/>
            <w:shd w:val="clear" w:color="auto" w:fill="FFFFFF"/>
          </w:tcPr>
          <w:p w14:paraId="6EB96C3D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A7A3FEB" w14:textId="77777777" w:rsidR="00C734BB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EF2F99B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t>społeczeństwo obywatelskie</w:t>
            </w:r>
          </w:p>
        </w:tc>
        <w:tc>
          <w:tcPr>
            <w:tcW w:w="3687" w:type="dxa"/>
            <w:gridSpan w:val="2"/>
            <w:shd w:val="clear" w:color="auto" w:fill="FFFFFF"/>
          </w:tcPr>
          <w:p w14:paraId="6A5E83FA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6F9F166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shd w:val="clear" w:color="auto" w:fill="FFFFFF"/>
          </w:tcPr>
          <w:p w14:paraId="7DAEBF40" w14:textId="77777777" w:rsidR="00C734BB" w:rsidRDefault="00C734BB" w:rsidP="00C734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3EBFB5A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7577">
              <w:rPr>
                <w:rFonts w:ascii="Times New Roman" w:hAnsi="Times New Roman"/>
                <w:color w:val="000000"/>
              </w:rPr>
            </w:r>
            <w:r w:rsidR="00867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734BB" w:rsidRPr="008B4FE6" w14:paraId="311C9BC6" w14:textId="77777777" w:rsidTr="00772ED0">
        <w:trPr>
          <w:trHeight w:val="712"/>
        </w:trPr>
        <w:tc>
          <w:tcPr>
            <w:tcW w:w="2243" w:type="dxa"/>
            <w:shd w:val="clear" w:color="auto" w:fill="FFFFFF"/>
            <w:vAlign w:val="center"/>
          </w:tcPr>
          <w:p w14:paraId="1DDFAC83" w14:textId="77777777" w:rsidR="00C734BB" w:rsidRPr="008B4FE6" w:rsidRDefault="00C734BB" w:rsidP="00C734B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4"/>
            <w:shd w:val="clear" w:color="auto" w:fill="FFFFFF"/>
            <w:vAlign w:val="center"/>
          </w:tcPr>
          <w:p w14:paraId="28E9EC57" w14:textId="179689FA" w:rsidR="00C734BB" w:rsidRPr="008B4FE6" w:rsidRDefault="009D2C19" w:rsidP="0077288F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D2C19">
              <w:rPr>
                <w:rFonts w:ascii="Times New Roman" w:hAnsi="Times New Roman"/>
                <w:color w:val="000000"/>
                <w:spacing w:val="-2"/>
              </w:rPr>
              <w:t xml:space="preserve">Wzmocnienie instytucjonalne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organizacji społeczeństwa obywatelskiego </w:t>
            </w:r>
            <w:r w:rsidRPr="009D2C19">
              <w:rPr>
                <w:rFonts w:ascii="Times New Roman" w:hAnsi="Times New Roman"/>
                <w:color w:val="000000"/>
                <w:spacing w:val="-2"/>
              </w:rPr>
              <w:t xml:space="preserve">będzie prowadzić do wszechstronnego rozwoju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tego </w:t>
            </w:r>
            <w:r w:rsidRPr="009D2C19">
              <w:rPr>
                <w:rFonts w:ascii="Times New Roman" w:hAnsi="Times New Roman"/>
                <w:color w:val="000000"/>
                <w:spacing w:val="-2"/>
              </w:rPr>
              <w:t>sektora, w tym do podniesienia jakości działania organizacji, ich efektywnego zaangażowania w życie publiczne, zwiększenia funkcji kontrolnych oraz eksperckich. Istotnym założeniem Programu jest wsparcie budowy silnego, sprawnego sektora obywatelskiego, który zachowując swoją różnorodność i niezależność będzie równocześnie realnym, równoprawnym partnerem w życiu publicznym i społecznym dla znacznie silniejszych instytucji władzy politycznej, ekonomicznej, medialnej czy samorządowej</w:t>
            </w:r>
            <w:r w:rsidRPr="00E1186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7285E" w:rsidRPr="00E1186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45D5" w:rsidRPr="00E11861">
              <w:rPr>
                <w:rFonts w:ascii="Times New Roman" w:hAnsi="Times New Roman"/>
                <w:color w:val="000000"/>
                <w:spacing w:val="-2"/>
              </w:rPr>
              <w:t>Środki finansowe  w </w:t>
            </w:r>
            <w:r w:rsidR="0037285E" w:rsidRPr="00E11861">
              <w:rPr>
                <w:rFonts w:ascii="Times New Roman" w:hAnsi="Times New Roman"/>
                <w:color w:val="000000"/>
                <w:spacing w:val="-2"/>
              </w:rPr>
              <w:t xml:space="preserve">formie dotacji </w:t>
            </w:r>
            <w:r w:rsidR="0077288F" w:rsidRPr="00E11861">
              <w:rPr>
                <w:rFonts w:ascii="Times New Roman" w:hAnsi="Times New Roman"/>
                <w:color w:val="000000"/>
                <w:spacing w:val="-2"/>
              </w:rPr>
              <w:t>przeznaczonych na rozwój</w:t>
            </w:r>
            <w:r w:rsidR="0037285E" w:rsidRPr="00E1186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7288F" w:rsidRPr="00E11861">
              <w:rPr>
                <w:rFonts w:ascii="Times New Roman" w:hAnsi="Times New Roman"/>
                <w:color w:val="000000"/>
                <w:spacing w:val="-2"/>
              </w:rPr>
              <w:t xml:space="preserve">organizacji społeczeństwa obywatelskiego </w:t>
            </w:r>
            <w:r w:rsidR="0037285E" w:rsidRPr="00E11861">
              <w:rPr>
                <w:rFonts w:ascii="Times New Roman" w:hAnsi="Times New Roman"/>
                <w:color w:val="000000"/>
                <w:spacing w:val="-2"/>
              </w:rPr>
              <w:t xml:space="preserve">w ramach </w:t>
            </w:r>
            <w:r w:rsidR="0037285E" w:rsidRPr="00E11861">
              <w:rPr>
                <w:rFonts w:ascii="Times New Roman" w:hAnsi="Times New Roman"/>
                <w:color w:val="000000"/>
              </w:rPr>
              <w:t xml:space="preserve">Programu Rozwoju Organizacji Obywatelskich w latach 2018-2030 </w:t>
            </w:r>
            <w:r w:rsidR="0077288F" w:rsidRPr="00E11861">
              <w:rPr>
                <w:rFonts w:ascii="Times New Roman" w:hAnsi="Times New Roman"/>
                <w:color w:val="000000"/>
              </w:rPr>
              <w:t>zaplanowano na poziomie</w:t>
            </w:r>
            <w:r w:rsidR="0037285E" w:rsidRPr="00E11861">
              <w:rPr>
                <w:rFonts w:ascii="Times New Roman" w:hAnsi="Times New Roman"/>
                <w:color w:val="000000"/>
              </w:rPr>
              <w:t xml:space="preserve"> 561,60 mln zł</w:t>
            </w:r>
            <w:r w:rsidR="0077288F" w:rsidRPr="00E11861">
              <w:rPr>
                <w:rFonts w:ascii="Times New Roman" w:hAnsi="Times New Roman"/>
                <w:color w:val="000000"/>
              </w:rPr>
              <w:t>.</w:t>
            </w:r>
            <w:r w:rsidR="0037285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734BB" w:rsidRPr="008B4FE6" w14:paraId="1B98A2BE" w14:textId="77777777" w:rsidTr="00772ED0">
        <w:trPr>
          <w:trHeight w:val="142"/>
        </w:trPr>
        <w:tc>
          <w:tcPr>
            <w:tcW w:w="10937" w:type="dxa"/>
            <w:gridSpan w:val="5"/>
            <w:shd w:val="clear" w:color="auto" w:fill="99CCFF"/>
          </w:tcPr>
          <w:p w14:paraId="3190D06D" w14:textId="77777777" w:rsidR="00C734BB" w:rsidRPr="00627221" w:rsidRDefault="00C734BB" w:rsidP="0037285E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/>
              <w:ind w:left="460" w:hanging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734BB" w:rsidRPr="008B4FE6" w14:paraId="4F501FB0" w14:textId="77777777" w:rsidTr="00772ED0">
        <w:trPr>
          <w:trHeight w:val="142"/>
        </w:trPr>
        <w:tc>
          <w:tcPr>
            <w:tcW w:w="10937" w:type="dxa"/>
            <w:gridSpan w:val="5"/>
            <w:shd w:val="clear" w:color="auto" w:fill="FFFFFF"/>
          </w:tcPr>
          <w:p w14:paraId="49A80EE4" w14:textId="04AE9CAB" w:rsidR="00C734BB" w:rsidRPr="00C734BB" w:rsidRDefault="00C734BB" w:rsidP="004C2053">
            <w:pPr>
              <w:pStyle w:val="Default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Przewiduje się, że </w:t>
            </w:r>
            <w:r w:rsidR="008F37B3" w:rsidRPr="009C3051">
              <w:rPr>
                <w:sz w:val="22"/>
                <w:szCs w:val="22"/>
              </w:rPr>
              <w:t>uchwała Rady Ministrów w sprawie ustanowienia Programu Rozwoju Organizacji Obywatelskich na lata 2018-2030 PROO</w:t>
            </w:r>
            <w:r w:rsidR="008F37B3" w:rsidRPr="00016761">
              <w:t xml:space="preserve"> </w:t>
            </w:r>
            <w:r>
              <w:rPr>
                <w:sz w:val="22"/>
                <w:szCs w:val="22"/>
              </w:rPr>
              <w:t xml:space="preserve">wejdzie w życie z dniem następującym po dniu ogłoszenia. Pozwoli to na uruchomienie konkursów dotacyjnych w roku 2018, a następnie ich cykliczną realizację w kolejnych </w:t>
            </w:r>
            <w:r w:rsidR="009D2C19">
              <w:rPr>
                <w:sz w:val="22"/>
                <w:szCs w:val="22"/>
              </w:rPr>
              <w:t xml:space="preserve">latach wdrażania Programu. </w:t>
            </w:r>
            <w:r>
              <w:rPr>
                <w:sz w:val="22"/>
                <w:szCs w:val="22"/>
              </w:rPr>
              <w:t>Wejście w życie projektowanej uchwały z dniem następującym po dniu ogłoszenia spełnia przesłanki określone w art. 4 ust. 2 ustawy z dnia 20 lipca 2000 r. o ogłaszaniu aktów normatywnych i niektórych innych aktów prawnych (Dz. U. z</w:t>
            </w:r>
            <w:r w:rsidR="00B22195">
              <w:rPr>
                <w:sz w:val="22"/>
                <w:szCs w:val="22"/>
              </w:rPr>
              <w:t> </w:t>
            </w:r>
            <w:r w:rsidR="008F37B3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r., poz. </w:t>
            </w:r>
            <w:r w:rsidR="008F37B3">
              <w:rPr>
                <w:sz w:val="22"/>
                <w:szCs w:val="22"/>
              </w:rPr>
              <w:t>1523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lastRenderedPageBreak/>
              <w:t>ponieważ przemawia za tym ważny interes państwa i nie jest sprzeczne z zasadą demokratycznego państwa prawnego, o której mowa w art. 2 Konstytucji RP</w:t>
            </w:r>
            <w:r w:rsidR="008F37B3" w:rsidRPr="008F37B3">
              <w:rPr>
                <w:sz w:val="22"/>
                <w:szCs w:val="22"/>
              </w:rPr>
              <w:t>,</w:t>
            </w:r>
            <w:r w:rsidR="008F37B3" w:rsidRPr="009C3051">
              <w:rPr>
                <w:sz w:val="22"/>
                <w:szCs w:val="22"/>
              </w:rPr>
              <w:t xml:space="preserve"> a projekt uchwały</w:t>
            </w:r>
            <w:r w:rsidR="001A4626">
              <w:rPr>
                <w:sz w:val="22"/>
                <w:szCs w:val="22"/>
              </w:rPr>
              <w:t>,</w:t>
            </w:r>
            <w:r w:rsidR="008F37B3" w:rsidRPr="009C3051">
              <w:rPr>
                <w:sz w:val="22"/>
                <w:szCs w:val="22"/>
              </w:rPr>
              <w:t xml:space="preserve"> </w:t>
            </w:r>
            <w:r w:rsidR="001A4626">
              <w:rPr>
                <w:sz w:val="22"/>
                <w:szCs w:val="22"/>
              </w:rPr>
              <w:t>który</w:t>
            </w:r>
            <w:r w:rsidR="008F37B3" w:rsidRPr="009C3051">
              <w:rPr>
                <w:sz w:val="22"/>
                <w:szCs w:val="22"/>
              </w:rPr>
              <w:t xml:space="preserve"> jest aktem o charakterze wewnętrznym, nie przewiduje nałożenia obowiązków na obywateli.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0CA87A1" w14:textId="26DD05FE" w:rsidR="00DA7A68" w:rsidRDefault="00DA7A68"/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0937"/>
      </w:tblGrid>
      <w:tr w:rsidR="00C734BB" w:rsidRPr="008B4FE6" w14:paraId="586C72CF" w14:textId="77777777" w:rsidTr="00772ED0">
        <w:trPr>
          <w:trHeight w:val="142"/>
        </w:trPr>
        <w:tc>
          <w:tcPr>
            <w:tcW w:w="10937" w:type="dxa"/>
            <w:shd w:val="clear" w:color="auto" w:fill="99CCFF"/>
          </w:tcPr>
          <w:p w14:paraId="4FDC7B21" w14:textId="020CD16A" w:rsidR="00C734BB" w:rsidRPr="008B4FE6" w:rsidRDefault="00C734BB" w:rsidP="0037285E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/>
              <w:ind w:left="460" w:hanging="42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734BB" w:rsidRPr="008B4FE6" w14:paraId="37BB548A" w14:textId="77777777" w:rsidTr="00772ED0">
        <w:trPr>
          <w:trHeight w:val="142"/>
        </w:trPr>
        <w:tc>
          <w:tcPr>
            <w:tcW w:w="10937" w:type="dxa"/>
            <w:shd w:val="clear" w:color="auto" w:fill="FFFFFF"/>
          </w:tcPr>
          <w:p w14:paraId="537D5686" w14:textId="66188F63" w:rsidR="00C734BB" w:rsidRPr="005519C5" w:rsidRDefault="00C734BB" w:rsidP="00C734B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ramach swoich zadań </w:t>
            </w:r>
            <w:r w:rsidRPr="005519C5">
              <w:rPr>
                <w:rFonts w:ascii="Times New Roman" w:hAnsi="Times New Roman"/>
                <w:color w:val="000000"/>
                <w:spacing w:val="-2"/>
              </w:rPr>
              <w:t>Instytucja Zarządzająca będzie realizować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systematyc</w:t>
            </w:r>
            <w:r w:rsidR="00DA7A68">
              <w:rPr>
                <w:rFonts w:ascii="Times New Roman" w:hAnsi="Times New Roman"/>
                <w:color w:val="000000"/>
                <w:spacing w:val="-2"/>
              </w:rPr>
              <w:t>zną ewaluację Programu, w tym w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szczególności </w:t>
            </w:r>
            <w:r w:rsidRPr="005519C5">
              <w:rPr>
                <w:rFonts w:ascii="Times New Roman" w:hAnsi="Times New Roman"/>
                <w:color w:val="000000"/>
                <w:spacing w:val="-2"/>
              </w:rPr>
              <w:t xml:space="preserve">ewaluację </w:t>
            </w:r>
            <w:r w:rsidRPr="005519C5">
              <w:rPr>
                <w:rFonts w:ascii="Times New Roman" w:hAnsi="Times New Roman"/>
                <w:i/>
                <w:color w:val="000000"/>
                <w:spacing w:val="-2"/>
              </w:rPr>
              <w:t>on-going</w:t>
            </w:r>
            <w:r w:rsidRPr="005519C5">
              <w:rPr>
                <w:rFonts w:ascii="Times New Roman" w:hAnsi="Times New Roman"/>
                <w:color w:val="000000"/>
                <w:spacing w:val="-2"/>
              </w:rPr>
              <w:t xml:space="preserve"> – w trybie dwuletnim:</w:t>
            </w:r>
          </w:p>
          <w:p w14:paraId="0A6D3F08" w14:textId="77777777" w:rsidR="00C734BB" w:rsidRPr="005519C5" w:rsidRDefault="00C734BB" w:rsidP="00C734BB">
            <w:pPr>
              <w:pStyle w:val="Akapitzlist"/>
              <w:numPr>
                <w:ilvl w:val="0"/>
                <w:numId w:val="30"/>
              </w:numPr>
              <w:ind w:hanging="43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19C5">
              <w:rPr>
                <w:rFonts w:ascii="Times New Roman" w:hAnsi="Times New Roman"/>
                <w:color w:val="000000"/>
                <w:spacing w:val="-2"/>
              </w:rPr>
              <w:t>do 31 marca 2020 roku,</w:t>
            </w:r>
          </w:p>
          <w:p w14:paraId="1C17BC0C" w14:textId="77777777" w:rsidR="00C734BB" w:rsidRPr="005519C5" w:rsidRDefault="00C734BB" w:rsidP="00C734BB">
            <w:pPr>
              <w:pStyle w:val="Akapitzlist"/>
              <w:numPr>
                <w:ilvl w:val="0"/>
                <w:numId w:val="30"/>
              </w:numPr>
              <w:ind w:hanging="43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19C5">
              <w:rPr>
                <w:rFonts w:ascii="Times New Roman" w:hAnsi="Times New Roman"/>
                <w:color w:val="000000"/>
                <w:spacing w:val="-2"/>
              </w:rPr>
              <w:t>do 31 marca 2022 roku,</w:t>
            </w:r>
          </w:p>
          <w:p w14:paraId="5595DD4B" w14:textId="77777777" w:rsidR="00C734BB" w:rsidRPr="005519C5" w:rsidRDefault="00C734BB" w:rsidP="00C734BB">
            <w:pPr>
              <w:pStyle w:val="Akapitzlist"/>
              <w:numPr>
                <w:ilvl w:val="0"/>
                <w:numId w:val="30"/>
              </w:numPr>
              <w:ind w:hanging="43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19C5">
              <w:rPr>
                <w:rFonts w:ascii="Times New Roman" w:hAnsi="Times New Roman"/>
                <w:color w:val="000000"/>
                <w:spacing w:val="-2"/>
              </w:rPr>
              <w:t>do 31 marca 2024 roku,</w:t>
            </w:r>
          </w:p>
          <w:p w14:paraId="71576447" w14:textId="77777777" w:rsidR="00C734BB" w:rsidRPr="005519C5" w:rsidRDefault="00C734BB" w:rsidP="00C734BB">
            <w:pPr>
              <w:pStyle w:val="Akapitzlist"/>
              <w:numPr>
                <w:ilvl w:val="0"/>
                <w:numId w:val="30"/>
              </w:numPr>
              <w:ind w:hanging="43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19C5">
              <w:rPr>
                <w:rFonts w:ascii="Times New Roman" w:hAnsi="Times New Roman"/>
                <w:color w:val="000000"/>
                <w:spacing w:val="-2"/>
              </w:rPr>
              <w:t>do 31 marca 2026 roku,</w:t>
            </w:r>
          </w:p>
          <w:p w14:paraId="40AEF66C" w14:textId="77777777" w:rsidR="00C734BB" w:rsidRPr="005519C5" w:rsidRDefault="00C734BB" w:rsidP="00C734BB">
            <w:pPr>
              <w:pStyle w:val="Akapitzlist"/>
              <w:numPr>
                <w:ilvl w:val="0"/>
                <w:numId w:val="30"/>
              </w:numPr>
              <w:ind w:hanging="43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19C5">
              <w:rPr>
                <w:rFonts w:ascii="Times New Roman" w:hAnsi="Times New Roman"/>
                <w:color w:val="000000"/>
                <w:spacing w:val="-2"/>
              </w:rPr>
              <w:t>do 31 marca 2028 roku,</w:t>
            </w:r>
          </w:p>
          <w:p w14:paraId="1330662D" w14:textId="77777777" w:rsidR="00C734BB" w:rsidRPr="005519C5" w:rsidRDefault="00C734BB" w:rsidP="00C734BB">
            <w:pPr>
              <w:pStyle w:val="Akapitzlist"/>
              <w:numPr>
                <w:ilvl w:val="0"/>
                <w:numId w:val="30"/>
              </w:numPr>
              <w:ind w:hanging="43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19C5">
              <w:rPr>
                <w:rFonts w:ascii="Times New Roman" w:hAnsi="Times New Roman"/>
                <w:color w:val="000000"/>
                <w:spacing w:val="-2"/>
              </w:rPr>
              <w:t>do 31 marca 2030 roku,</w:t>
            </w:r>
          </w:p>
          <w:p w14:paraId="42CC9720" w14:textId="77777777" w:rsidR="00C734BB" w:rsidRDefault="00C734BB" w:rsidP="00C734B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Pr="005519C5">
              <w:rPr>
                <w:rFonts w:ascii="Times New Roman" w:hAnsi="Times New Roman"/>
                <w:color w:val="000000"/>
                <w:spacing w:val="-2"/>
              </w:rPr>
              <w:t xml:space="preserve">ewaluację </w:t>
            </w:r>
            <w:r w:rsidRPr="005519C5">
              <w:rPr>
                <w:rFonts w:ascii="Times New Roman" w:hAnsi="Times New Roman"/>
                <w:i/>
                <w:color w:val="000000"/>
                <w:spacing w:val="-2"/>
              </w:rPr>
              <w:t>ex-post</w:t>
            </w:r>
            <w:r w:rsidRPr="005519C5">
              <w:rPr>
                <w:rFonts w:ascii="Times New Roman" w:hAnsi="Times New Roman"/>
                <w:color w:val="000000"/>
                <w:spacing w:val="-2"/>
              </w:rPr>
              <w:t xml:space="preserve"> – po zakończeniu okresu wdrażania – do 31 maja 2031 roku.</w:t>
            </w:r>
          </w:p>
          <w:p w14:paraId="3DCE8B1B" w14:textId="77777777" w:rsidR="000E33D3" w:rsidRPr="00B37C80" w:rsidRDefault="000E33D3" w:rsidP="000E33D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potrzeby ewaluacji zostaną wykorzystane mierniki wskazane w dokumencie programowym – załączniku do projektu uchwały RM.</w:t>
            </w:r>
          </w:p>
        </w:tc>
      </w:tr>
      <w:tr w:rsidR="00C734BB" w:rsidRPr="008B4FE6" w14:paraId="29FC32B8" w14:textId="77777777" w:rsidTr="00772ED0">
        <w:trPr>
          <w:trHeight w:val="142"/>
        </w:trPr>
        <w:tc>
          <w:tcPr>
            <w:tcW w:w="10937" w:type="dxa"/>
            <w:shd w:val="clear" w:color="auto" w:fill="99CCFF"/>
          </w:tcPr>
          <w:p w14:paraId="28A701C9" w14:textId="77777777" w:rsidR="00C734BB" w:rsidRPr="008B4FE6" w:rsidRDefault="00C734BB" w:rsidP="0037285E">
            <w:pPr>
              <w:numPr>
                <w:ilvl w:val="0"/>
                <w:numId w:val="3"/>
              </w:numPr>
              <w:tabs>
                <w:tab w:val="clear" w:pos="360"/>
                <w:tab w:val="num" w:pos="602"/>
              </w:tabs>
              <w:spacing w:before="60" w:after="60"/>
              <w:ind w:left="602" w:hanging="568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734BB" w:rsidRPr="008B4FE6" w14:paraId="6C7B63E3" w14:textId="77777777" w:rsidTr="00772ED0">
        <w:trPr>
          <w:trHeight w:val="142"/>
        </w:trPr>
        <w:tc>
          <w:tcPr>
            <w:tcW w:w="10937" w:type="dxa"/>
            <w:shd w:val="clear" w:color="auto" w:fill="FFFFFF"/>
          </w:tcPr>
          <w:p w14:paraId="4B32873F" w14:textId="77777777" w:rsidR="00C734BB" w:rsidRPr="00B37C80" w:rsidRDefault="009D2C19" w:rsidP="00C734B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14:paraId="54B3D9CC" w14:textId="77777777" w:rsidR="006176ED" w:rsidRPr="009D2C19" w:rsidRDefault="006176ED" w:rsidP="009D2C19"/>
    <w:sectPr w:rsidR="006176ED" w:rsidRPr="009D2C19" w:rsidSect="00772ED0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137C" w14:textId="77777777" w:rsidR="009F37BB" w:rsidRDefault="009F37BB" w:rsidP="00044739">
      <w:pPr>
        <w:spacing w:line="240" w:lineRule="auto"/>
      </w:pPr>
      <w:r>
        <w:separator/>
      </w:r>
    </w:p>
  </w:endnote>
  <w:endnote w:type="continuationSeparator" w:id="0">
    <w:p w14:paraId="10E4FB6D" w14:textId="77777777" w:rsidR="009F37BB" w:rsidRDefault="009F37B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08EC" w14:textId="77777777" w:rsidR="009F37BB" w:rsidRDefault="009F37BB" w:rsidP="00044739">
      <w:pPr>
        <w:spacing w:line="240" w:lineRule="auto"/>
      </w:pPr>
      <w:r>
        <w:separator/>
      </w:r>
    </w:p>
  </w:footnote>
  <w:footnote w:type="continuationSeparator" w:id="0">
    <w:p w14:paraId="4EB0C4FF" w14:textId="77777777" w:rsidR="009F37BB" w:rsidRDefault="009F37B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AB5"/>
    <w:multiLevelType w:val="hybridMultilevel"/>
    <w:tmpl w:val="80D26B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C0B7F"/>
    <w:multiLevelType w:val="hybridMultilevel"/>
    <w:tmpl w:val="91283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C01C3"/>
    <w:multiLevelType w:val="hybridMultilevel"/>
    <w:tmpl w:val="6CBCD5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5CA763B"/>
    <w:multiLevelType w:val="hybridMultilevel"/>
    <w:tmpl w:val="0100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FD5"/>
    <w:multiLevelType w:val="hybridMultilevel"/>
    <w:tmpl w:val="1D7A3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A059A"/>
    <w:multiLevelType w:val="hybridMultilevel"/>
    <w:tmpl w:val="3A1818EA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2364EF"/>
    <w:multiLevelType w:val="hybridMultilevel"/>
    <w:tmpl w:val="3912C4CC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0442AE"/>
    <w:multiLevelType w:val="hybridMultilevel"/>
    <w:tmpl w:val="F55EBAB8"/>
    <w:lvl w:ilvl="0" w:tplc="48E6340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F3EDB"/>
    <w:multiLevelType w:val="hybridMultilevel"/>
    <w:tmpl w:val="24727322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93A0D"/>
    <w:multiLevelType w:val="hybridMultilevel"/>
    <w:tmpl w:val="F3906F80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18C3277"/>
    <w:multiLevelType w:val="hybridMultilevel"/>
    <w:tmpl w:val="5A54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6EB2"/>
    <w:multiLevelType w:val="hybridMultilevel"/>
    <w:tmpl w:val="D4461534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90EB1"/>
    <w:multiLevelType w:val="hybridMultilevel"/>
    <w:tmpl w:val="B3929D2A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1C1962"/>
    <w:multiLevelType w:val="hybridMultilevel"/>
    <w:tmpl w:val="02C8FE6E"/>
    <w:lvl w:ilvl="0" w:tplc="19CE5A5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6B0F"/>
    <w:multiLevelType w:val="hybridMultilevel"/>
    <w:tmpl w:val="F6B887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0"/>
  </w:num>
  <w:num w:numId="5">
    <w:abstractNumId w:val="1"/>
  </w:num>
  <w:num w:numId="6">
    <w:abstractNumId w:val="11"/>
  </w:num>
  <w:num w:numId="7">
    <w:abstractNumId w:val="20"/>
  </w:num>
  <w:num w:numId="8">
    <w:abstractNumId w:val="6"/>
  </w:num>
  <w:num w:numId="9">
    <w:abstractNumId w:val="23"/>
  </w:num>
  <w:num w:numId="10">
    <w:abstractNumId w:val="17"/>
  </w:num>
  <w:num w:numId="11">
    <w:abstractNumId w:val="22"/>
  </w:num>
  <w:num w:numId="12">
    <w:abstractNumId w:val="4"/>
  </w:num>
  <w:num w:numId="13">
    <w:abstractNumId w:val="15"/>
  </w:num>
  <w:num w:numId="14">
    <w:abstractNumId w:val="31"/>
  </w:num>
  <w:num w:numId="15">
    <w:abstractNumId w:val="27"/>
  </w:num>
  <w:num w:numId="16">
    <w:abstractNumId w:val="29"/>
  </w:num>
  <w:num w:numId="17">
    <w:abstractNumId w:val="7"/>
  </w:num>
  <w:num w:numId="18">
    <w:abstractNumId w:val="32"/>
  </w:num>
  <w:num w:numId="19">
    <w:abstractNumId w:val="33"/>
  </w:num>
  <w:num w:numId="20">
    <w:abstractNumId w:val="28"/>
  </w:num>
  <w:num w:numId="21">
    <w:abstractNumId w:val="9"/>
  </w:num>
  <w:num w:numId="22">
    <w:abstractNumId w:val="21"/>
  </w:num>
  <w:num w:numId="23">
    <w:abstractNumId w:val="26"/>
  </w:num>
  <w:num w:numId="24">
    <w:abstractNumId w:val="25"/>
  </w:num>
  <w:num w:numId="25">
    <w:abstractNumId w:val="10"/>
  </w:num>
  <w:num w:numId="26">
    <w:abstractNumId w:val="13"/>
  </w:num>
  <w:num w:numId="27">
    <w:abstractNumId w:val="16"/>
  </w:num>
  <w:num w:numId="28">
    <w:abstractNumId w:val="19"/>
  </w:num>
  <w:num w:numId="29">
    <w:abstractNumId w:val="18"/>
  </w:num>
  <w:num w:numId="30">
    <w:abstractNumId w:val="34"/>
  </w:num>
  <w:num w:numId="31">
    <w:abstractNumId w:val="24"/>
  </w:num>
  <w:num w:numId="32">
    <w:abstractNumId w:val="8"/>
  </w:num>
  <w:num w:numId="33">
    <w:abstractNumId w:val="35"/>
  </w:num>
  <w:num w:numId="34">
    <w:abstractNumId w:val="2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2E41"/>
    <w:rsid w:val="000B54FB"/>
    <w:rsid w:val="000C29B0"/>
    <w:rsid w:val="000C76FC"/>
    <w:rsid w:val="000D38FC"/>
    <w:rsid w:val="000D4D90"/>
    <w:rsid w:val="000E2D10"/>
    <w:rsid w:val="000E33D3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626"/>
    <w:rsid w:val="001B2316"/>
    <w:rsid w:val="001B3460"/>
    <w:rsid w:val="001B4CA1"/>
    <w:rsid w:val="001B75D8"/>
    <w:rsid w:val="001B7688"/>
    <w:rsid w:val="001C1060"/>
    <w:rsid w:val="001C3C63"/>
    <w:rsid w:val="001D38AB"/>
    <w:rsid w:val="001D4732"/>
    <w:rsid w:val="001D6A3C"/>
    <w:rsid w:val="001D6D51"/>
    <w:rsid w:val="001F653A"/>
    <w:rsid w:val="001F6979"/>
    <w:rsid w:val="00202BC6"/>
    <w:rsid w:val="00205141"/>
    <w:rsid w:val="0020516B"/>
    <w:rsid w:val="00205FC4"/>
    <w:rsid w:val="00212F77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11F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285E"/>
    <w:rsid w:val="00376AC9"/>
    <w:rsid w:val="00384EE7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7C4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2053"/>
    <w:rsid w:val="004C36D8"/>
    <w:rsid w:val="004C6A0C"/>
    <w:rsid w:val="004D1248"/>
    <w:rsid w:val="004D1E3C"/>
    <w:rsid w:val="004D4169"/>
    <w:rsid w:val="004D6E14"/>
    <w:rsid w:val="004E5977"/>
    <w:rsid w:val="004F4E17"/>
    <w:rsid w:val="0050082F"/>
    <w:rsid w:val="00500C56"/>
    <w:rsid w:val="005016B8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19C5"/>
    <w:rsid w:val="00552794"/>
    <w:rsid w:val="00563199"/>
    <w:rsid w:val="00564874"/>
    <w:rsid w:val="00567846"/>
    <w:rsid w:val="00567963"/>
    <w:rsid w:val="0057009A"/>
    <w:rsid w:val="00571260"/>
    <w:rsid w:val="0057189C"/>
    <w:rsid w:val="00573FC1"/>
    <w:rsid w:val="005741EE"/>
    <w:rsid w:val="0057668E"/>
    <w:rsid w:val="0057675A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0606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22FE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8EB"/>
    <w:rsid w:val="006807DA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E38E4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7D3"/>
    <w:rsid w:val="00726B44"/>
    <w:rsid w:val="007318DD"/>
    <w:rsid w:val="00733167"/>
    <w:rsid w:val="00740D2C"/>
    <w:rsid w:val="00744BF9"/>
    <w:rsid w:val="00752623"/>
    <w:rsid w:val="00755E0D"/>
    <w:rsid w:val="00760F1F"/>
    <w:rsid w:val="00761492"/>
    <w:rsid w:val="0076423E"/>
    <w:rsid w:val="007646CB"/>
    <w:rsid w:val="0076658F"/>
    <w:rsid w:val="0077040A"/>
    <w:rsid w:val="0077288F"/>
    <w:rsid w:val="00772D64"/>
    <w:rsid w:val="00772ED0"/>
    <w:rsid w:val="00773FA1"/>
    <w:rsid w:val="00777172"/>
    <w:rsid w:val="007923B7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5F02"/>
    <w:rsid w:val="00841422"/>
    <w:rsid w:val="00841D3B"/>
    <w:rsid w:val="0084314C"/>
    <w:rsid w:val="00843171"/>
    <w:rsid w:val="008575C3"/>
    <w:rsid w:val="00863D28"/>
    <w:rsid w:val="008648C3"/>
    <w:rsid w:val="00867577"/>
    <w:rsid w:val="00880F26"/>
    <w:rsid w:val="008934DC"/>
    <w:rsid w:val="00896C2E"/>
    <w:rsid w:val="008A5095"/>
    <w:rsid w:val="008A608F"/>
    <w:rsid w:val="008A60D8"/>
    <w:rsid w:val="008B1A9A"/>
    <w:rsid w:val="008B4FE6"/>
    <w:rsid w:val="008B6C37"/>
    <w:rsid w:val="008E18F7"/>
    <w:rsid w:val="008E1E10"/>
    <w:rsid w:val="008E291B"/>
    <w:rsid w:val="008E390A"/>
    <w:rsid w:val="008E4F2F"/>
    <w:rsid w:val="008E74B0"/>
    <w:rsid w:val="008F37B3"/>
    <w:rsid w:val="009008A8"/>
    <w:rsid w:val="009027F8"/>
    <w:rsid w:val="009063B0"/>
    <w:rsid w:val="00907106"/>
    <w:rsid w:val="009107FD"/>
    <w:rsid w:val="0091137C"/>
    <w:rsid w:val="00911567"/>
    <w:rsid w:val="00917AAE"/>
    <w:rsid w:val="00924508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217"/>
    <w:rsid w:val="00991F96"/>
    <w:rsid w:val="00996F0A"/>
    <w:rsid w:val="009A1D86"/>
    <w:rsid w:val="009B049C"/>
    <w:rsid w:val="009B11C8"/>
    <w:rsid w:val="009B2BCF"/>
    <w:rsid w:val="009B2FF8"/>
    <w:rsid w:val="009B5BA3"/>
    <w:rsid w:val="009C3051"/>
    <w:rsid w:val="009D0027"/>
    <w:rsid w:val="009D0655"/>
    <w:rsid w:val="009D2C19"/>
    <w:rsid w:val="009E1E98"/>
    <w:rsid w:val="009E3ABE"/>
    <w:rsid w:val="009E3C4B"/>
    <w:rsid w:val="009F0637"/>
    <w:rsid w:val="009F37BB"/>
    <w:rsid w:val="009F48D9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4A95"/>
    <w:rsid w:val="00A319C0"/>
    <w:rsid w:val="00A33560"/>
    <w:rsid w:val="00A364E4"/>
    <w:rsid w:val="00A371A5"/>
    <w:rsid w:val="00A37FBC"/>
    <w:rsid w:val="00A47BDF"/>
    <w:rsid w:val="00A51CD7"/>
    <w:rsid w:val="00A52ADB"/>
    <w:rsid w:val="00A533E8"/>
    <w:rsid w:val="00A542D9"/>
    <w:rsid w:val="00A5629F"/>
    <w:rsid w:val="00A56E64"/>
    <w:rsid w:val="00A624C3"/>
    <w:rsid w:val="00A6641C"/>
    <w:rsid w:val="00A72EB2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6B28"/>
    <w:rsid w:val="00AB1ACD"/>
    <w:rsid w:val="00AB277F"/>
    <w:rsid w:val="00AB4099"/>
    <w:rsid w:val="00AB449A"/>
    <w:rsid w:val="00AD14F9"/>
    <w:rsid w:val="00AD35D6"/>
    <w:rsid w:val="00AD49E9"/>
    <w:rsid w:val="00AD58C5"/>
    <w:rsid w:val="00AE36C4"/>
    <w:rsid w:val="00AE472C"/>
    <w:rsid w:val="00AE5375"/>
    <w:rsid w:val="00AE5E26"/>
    <w:rsid w:val="00AE6CF8"/>
    <w:rsid w:val="00AF4CAC"/>
    <w:rsid w:val="00B03E0D"/>
    <w:rsid w:val="00B054F8"/>
    <w:rsid w:val="00B22195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9DD"/>
    <w:rsid w:val="00B81B55"/>
    <w:rsid w:val="00B84613"/>
    <w:rsid w:val="00B87AF0"/>
    <w:rsid w:val="00B9037B"/>
    <w:rsid w:val="00B910BD"/>
    <w:rsid w:val="00B92A85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E524A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34BB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0C60"/>
    <w:rsid w:val="00CC33A3"/>
    <w:rsid w:val="00CC6194"/>
    <w:rsid w:val="00CC6305"/>
    <w:rsid w:val="00CC78A5"/>
    <w:rsid w:val="00CD0516"/>
    <w:rsid w:val="00CD45D5"/>
    <w:rsid w:val="00CD756B"/>
    <w:rsid w:val="00CE734F"/>
    <w:rsid w:val="00CF112E"/>
    <w:rsid w:val="00CF5F4F"/>
    <w:rsid w:val="00D06532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7A68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1861"/>
    <w:rsid w:val="00E172B8"/>
    <w:rsid w:val="00E17FB4"/>
    <w:rsid w:val="00E20B75"/>
    <w:rsid w:val="00E214F2"/>
    <w:rsid w:val="00E2371E"/>
    <w:rsid w:val="00E24BD7"/>
    <w:rsid w:val="00E26523"/>
    <w:rsid w:val="00E26809"/>
    <w:rsid w:val="00E306F7"/>
    <w:rsid w:val="00E3412D"/>
    <w:rsid w:val="00E57322"/>
    <w:rsid w:val="00E628CB"/>
    <w:rsid w:val="00E62AD9"/>
    <w:rsid w:val="00E638C8"/>
    <w:rsid w:val="00E70A5B"/>
    <w:rsid w:val="00E7509B"/>
    <w:rsid w:val="00E86590"/>
    <w:rsid w:val="00E907FF"/>
    <w:rsid w:val="00E9660F"/>
    <w:rsid w:val="00EA2399"/>
    <w:rsid w:val="00EA42D1"/>
    <w:rsid w:val="00EA42EF"/>
    <w:rsid w:val="00EB13A3"/>
    <w:rsid w:val="00EB2DD1"/>
    <w:rsid w:val="00EB6B37"/>
    <w:rsid w:val="00EC19C2"/>
    <w:rsid w:val="00EC29FE"/>
    <w:rsid w:val="00EC3C70"/>
    <w:rsid w:val="00ED3A3D"/>
    <w:rsid w:val="00ED538A"/>
    <w:rsid w:val="00ED6FBC"/>
    <w:rsid w:val="00EE2F16"/>
    <w:rsid w:val="00EE3861"/>
    <w:rsid w:val="00EE7BF2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937"/>
    <w:rsid w:val="00F33AE5"/>
    <w:rsid w:val="00F3426E"/>
    <w:rsid w:val="00F3597D"/>
    <w:rsid w:val="00F4376D"/>
    <w:rsid w:val="00F45399"/>
    <w:rsid w:val="00F465EA"/>
    <w:rsid w:val="00F54E7B"/>
    <w:rsid w:val="00F55A88"/>
    <w:rsid w:val="00F71F89"/>
    <w:rsid w:val="00F74005"/>
    <w:rsid w:val="00F76884"/>
    <w:rsid w:val="00F83D24"/>
    <w:rsid w:val="00F83DD9"/>
    <w:rsid w:val="00F83F40"/>
    <w:rsid w:val="00F94CA5"/>
    <w:rsid w:val="00FA117A"/>
    <w:rsid w:val="00FB0D03"/>
    <w:rsid w:val="00FB386A"/>
    <w:rsid w:val="00FC0786"/>
    <w:rsid w:val="00FC49EF"/>
    <w:rsid w:val="00FC4AD4"/>
    <w:rsid w:val="00FD3C87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37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C734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ciech.Kaczmarczyk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2018-06-14T10:13:00Z</dcterms:created>
  <dcterms:modified xsi:type="dcterms:W3CDTF">2018-06-15T11:02:00Z</dcterms:modified>
</cp:coreProperties>
</file>